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3E" w:rsidRPr="00AC1CC9" w:rsidRDefault="0053470F" w:rsidP="00AC1CC9">
      <w:pPr>
        <w:pStyle w:val="Heading1"/>
        <w:spacing w:before="0" w:after="0"/>
        <w:jc w:val="center"/>
        <w:rPr>
          <w:b/>
          <w:bCs/>
          <w:color w:val="C00000"/>
          <w:sz w:val="28"/>
          <w:szCs w:val="34"/>
        </w:rPr>
      </w:pPr>
      <w:bookmarkStart w:id="0" w:name="_Toc237322987"/>
      <w:r w:rsidRPr="00AC1CC9">
        <w:rPr>
          <w:b/>
          <w:bCs/>
          <w:color w:val="C00000"/>
          <w:sz w:val="28"/>
          <w:szCs w:val="34"/>
        </w:rPr>
        <w:t>Maryland SLCGP FFY2024</w:t>
      </w:r>
      <w:bookmarkEnd w:id="0"/>
    </w:p>
    <w:p w:rsidR="00466A3E" w:rsidRPr="00AC1CC9" w:rsidRDefault="0053470F" w:rsidP="00AC1CC9">
      <w:pPr>
        <w:pStyle w:val="Heading1"/>
        <w:spacing w:before="0" w:after="0"/>
        <w:jc w:val="center"/>
        <w:rPr>
          <w:b/>
          <w:bCs/>
          <w:color w:val="C00000"/>
          <w:sz w:val="28"/>
          <w:szCs w:val="34"/>
        </w:rPr>
      </w:pPr>
      <w:bookmarkStart w:id="1" w:name="_Toc237322988"/>
      <w:r w:rsidRPr="00AC1CC9">
        <w:rPr>
          <w:b/>
          <w:bCs/>
          <w:color w:val="C00000"/>
          <w:sz w:val="28"/>
          <w:szCs w:val="34"/>
        </w:rPr>
        <w:t>Additional Guidance on the Maryland Project Categories</w:t>
      </w:r>
      <w:bookmarkEnd w:id="1"/>
    </w:p>
    <w:p w:rsidR="00466A3E" w:rsidRDefault="00466A3E" w:rsidP="00AC1CC9"/>
    <w:p w:rsidR="00466A3E" w:rsidRPr="00AC1CC9" w:rsidRDefault="0053470F" w:rsidP="00AC1CC9">
      <w:pPr>
        <w:rPr>
          <w:b/>
          <w:bCs/>
          <w:sz w:val="26"/>
          <w:szCs w:val="26"/>
          <w:u w:val="single"/>
        </w:rPr>
      </w:pPr>
      <w:r w:rsidRPr="00AC1CC9">
        <w:rPr>
          <w:b/>
          <w:bCs/>
          <w:sz w:val="26"/>
          <w:szCs w:val="26"/>
          <w:u w:val="single"/>
        </w:rPr>
        <w:t>Table of Contents</w:t>
      </w:r>
    </w:p>
    <w:p w:rsidR="00466A3E" w:rsidRDefault="00466A3E" w:rsidP="00AC1CC9"/>
    <w:sdt>
      <w:sdtPr>
        <w:id w:val="-1055842848"/>
        <w:docPartObj>
          <w:docPartGallery w:val="Table of Contents"/>
          <w:docPartUnique/>
        </w:docPartObj>
      </w:sdtPr>
      <w:sdtEndPr/>
      <w:sdtContent>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r w:rsidRPr="00AC1CC9">
            <w:fldChar w:fldCharType="begin"/>
          </w:r>
          <w:r w:rsidRPr="00AC1CC9">
            <w:instrText xml:space="preserve"> TOC \h \u \z \t "Heading 1,1,Heading 2,2,Heading 3,3,Heading 4,4,Heading 5,5,Heading 6,6,"</w:instrText>
          </w:r>
          <w:r w:rsidRPr="00AC1CC9">
            <w:fldChar w:fldCharType="separate"/>
          </w:r>
          <w:hyperlink w:anchor="_Toc237322987" w:history="1">
            <w:r w:rsidR="00AC1CC9" w:rsidRPr="00EB0070">
              <w:rPr>
                <w:rStyle w:val="Hyperlink"/>
                <w:b/>
                <w:bCs/>
                <w:noProof/>
              </w:rPr>
              <w:t>Maryland SLCGP FFY2024</w:t>
            </w:r>
            <w:r w:rsidR="00AC1CC9">
              <w:rPr>
                <w:noProof/>
                <w:webHidden/>
              </w:rPr>
              <w:tab/>
            </w:r>
            <w:r w:rsidR="00AC1CC9">
              <w:rPr>
                <w:noProof/>
                <w:webHidden/>
              </w:rPr>
              <w:fldChar w:fldCharType="begin"/>
            </w:r>
            <w:r w:rsidR="00AC1CC9">
              <w:rPr>
                <w:noProof/>
                <w:webHidden/>
              </w:rPr>
              <w:instrText xml:space="preserve"> PAGEREF _Toc237322987 \h </w:instrText>
            </w:r>
            <w:r w:rsidR="00AC1CC9">
              <w:rPr>
                <w:noProof/>
                <w:webHidden/>
              </w:rPr>
            </w:r>
            <w:r w:rsidR="00AC1CC9">
              <w:rPr>
                <w:noProof/>
                <w:webHidden/>
              </w:rPr>
              <w:fldChar w:fldCharType="separate"/>
            </w:r>
            <w:r w:rsidR="00AC1CC9">
              <w:rPr>
                <w:noProof/>
                <w:webHidden/>
              </w:rPr>
              <w:t>1</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2988" w:history="1">
            <w:r w:rsidR="00AC1CC9" w:rsidRPr="00EB0070">
              <w:rPr>
                <w:rStyle w:val="Hyperlink"/>
                <w:b/>
                <w:bCs/>
                <w:noProof/>
              </w:rPr>
              <w:t>Additional Guidance on the Maryland Project Categories</w:t>
            </w:r>
            <w:r w:rsidR="00AC1CC9">
              <w:rPr>
                <w:noProof/>
                <w:webHidden/>
              </w:rPr>
              <w:tab/>
            </w:r>
            <w:r w:rsidR="00AC1CC9">
              <w:rPr>
                <w:noProof/>
                <w:webHidden/>
              </w:rPr>
              <w:fldChar w:fldCharType="begin"/>
            </w:r>
            <w:r w:rsidR="00AC1CC9">
              <w:rPr>
                <w:noProof/>
                <w:webHidden/>
              </w:rPr>
              <w:instrText xml:space="preserve"> PAGEREF _Toc237322988 \h </w:instrText>
            </w:r>
            <w:r w:rsidR="00AC1CC9">
              <w:rPr>
                <w:noProof/>
                <w:webHidden/>
              </w:rPr>
            </w:r>
            <w:r w:rsidR="00AC1CC9">
              <w:rPr>
                <w:noProof/>
                <w:webHidden/>
              </w:rPr>
              <w:fldChar w:fldCharType="separate"/>
            </w:r>
            <w:r w:rsidR="00AC1CC9">
              <w:rPr>
                <w:noProof/>
                <w:webHidden/>
              </w:rPr>
              <w:t>1</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2989" w:history="1">
            <w:r w:rsidR="00AC1CC9" w:rsidRPr="00EB0070">
              <w:rPr>
                <w:rStyle w:val="Hyperlink"/>
                <w:noProof/>
              </w:rPr>
              <w:t>Overview</w:t>
            </w:r>
            <w:r w:rsidR="00AC1CC9">
              <w:rPr>
                <w:noProof/>
                <w:webHidden/>
              </w:rPr>
              <w:tab/>
            </w:r>
            <w:r w:rsidR="00AC1CC9">
              <w:rPr>
                <w:noProof/>
                <w:webHidden/>
              </w:rPr>
              <w:fldChar w:fldCharType="begin"/>
            </w:r>
            <w:r w:rsidR="00AC1CC9">
              <w:rPr>
                <w:noProof/>
                <w:webHidden/>
              </w:rPr>
              <w:instrText xml:space="preserve"> PAGEREF _Toc237322989 \h </w:instrText>
            </w:r>
            <w:r w:rsidR="00AC1CC9">
              <w:rPr>
                <w:noProof/>
                <w:webHidden/>
              </w:rPr>
            </w:r>
            <w:r w:rsidR="00AC1CC9">
              <w:rPr>
                <w:noProof/>
                <w:webHidden/>
              </w:rPr>
              <w:fldChar w:fldCharType="separate"/>
            </w:r>
            <w:r w:rsidR="00AC1CC9">
              <w:rPr>
                <w:noProof/>
                <w:webHidden/>
              </w:rPr>
              <w:t>2</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2990" w:history="1">
            <w:r w:rsidR="00AC1CC9" w:rsidRPr="00EB0070">
              <w:rPr>
                <w:rStyle w:val="Hyperlink"/>
                <w:noProof/>
              </w:rPr>
              <w:t>Guidance for using Vendor Services</w:t>
            </w:r>
            <w:r w:rsidR="00AC1CC9">
              <w:rPr>
                <w:noProof/>
                <w:webHidden/>
              </w:rPr>
              <w:tab/>
            </w:r>
            <w:r w:rsidR="00AC1CC9">
              <w:rPr>
                <w:noProof/>
                <w:webHidden/>
              </w:rPr>
              <w:fldChar w:fldCharType="begin"/>
            </w:r>
            <w:r w:rsidR="00AC1CC9">
              <w:rPr>
                <w:noProof/>
                <w:webHidden/>
              </w:rPr>
              <w:instrText xml:space="preserve"> PAGEREF _Toc237322990 \h </w:instrText>
            </w:r>
            <w:r w:rsidR="00AC1CC9">
              <w:rPr>
                <w:noProof/>
                <w:webHidden/>
              </w:rPr>
            </w:r>
            <w:r w:rsidR="00AC1CC9">
              <w:rPr>
                <w:noProof/>
                <w:webHidden/>
              </w:rPr>
              <w:fldChar w:fldCharType="separate"/>
            </w:r>
            <w:r w:rsidR="00AC1CC9">
              <w:rPr>
                <w:noProof/>
                <w:webHidden/>
              </w:rPr>
              <w:t>2</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2991" w:history="1">
            <w:r w:rsidR="00AC1CC9" w:rsidRPr="00EB0070">
              <w:rPr>
                <w:rStyle w:val="Hyperlink"/>
                <w:noProof/>
              </w:rPr>
              <w:t>Project Category One</w:t>
            </w:r>
            <w:r w:rsidR="00AC1CC9">
              <w:rPr>
                <w:noProof/>
                <w:webHidden/>
              </w:rPr>
              <w:tab/>
            </w:r>
            <w:r w:rsidR="00AC1CC9">
              <w:rPr>
                <w:noProof/>
                <w:webHidden/>
              </w:rPr>
              <w:fldChar w:fldCharType="begin"/>
            </w:r>
            <w:r w:rsidR="00AC1CC9">
              <w:rPr>
                <w:noProof/>
                <w:webHidden/>
              </w:rPr>
              <w:instrText xml:space="preserve"> PAGEREF _Toc237322991 \h </w:instrText>
            </w:r>
            <w:r w:rsidR="00AC1CC9">
              <w:rPr>
                <w:noProof/>
                <w:webHidden/>
              </w:rPr>
            </w:r>
            <w:r w:rsidR="00AC1CC9">
              <w:rPr>
                <w:noProof/>
                <w:webHidden/>
              </w:rPr>
              <w:fldChar w:fldCharType="separate"/>
            </w:r>
            <w:r w:rsidR="00AC1CC9">
              <w:rPr>
                <w:noProof/>
                <w:webHidden/>
              </w:rPr>
              <w:t>3</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2" w:history="1">
            <w:r w:rsidR="00AC1CC9" w:rsidRPr="00EB0070">
              <w:rPr>
                <w:rStyle w:val="Hyperlink"/>
                <w:noProof/>
              </w:rPr>
              <w:t>Guidance for Asset Discovery &amp; Vulnerability Management Projects</w:t>
            </w:r>
            <w:r w:rsidR="00AC1CC9">
              <w:rPr>
                <w:noProof/>
                <w:webHidden/>
              </w:rPr>
              <w:tab/>
            </w:r>
            <w:r w:rsidR="00AC1CC9">
              <w:rPr>
                <w:noProof/>
                <w:webHidden/>
              </w:rPr>
              <w:fldChar w:fldCharType="begin"/>
            </w:r>
            <w:r w:rsidR="00AC1CC9">
              <w:rPr>
                <w:noProof/>
                <w:webHidden/>
              </w:rPr>
              <w:instrText xml:space="preserve"> PAGEREF _Toc237322992 \h </w:instrText>
            </w:r>
            <w:r w:rsidR="00AC1CC9">
              <w:rPr>
                <w:noProof/>
                <w:webHidden/>
              </w:rPr>
            </w:r>
            <w:r w:rsidR="00AC1CC9">
              <w:rPr>
                <w:noProof/>
                <w:webHidden/>
              </w:rPr>
              <w:fldChar w:fldCharType="separate"/>
            </w:r>
            <w:r w:rsidR="00AC1CC9">
              <w:rPr>
                <w:noProof/>
                <w:webHidden/>
              </w:rPr>
              <w:t>4</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3" w:history="1">
            <w:r w:rsidR="00AC1CC9" w:rsidRPr="00EB0070">
              <w:rPr>
                <w:rStyle w:val="Hyperlink"/>
                <w:noProof/>
              </w:rPr>
              <w:t>Guidance for Multi-Factor Authentication (MFA) Projects</w:t>
            </w:r>
            <w:r w:rsidR="00AC1CC9">
              <w:rPr>
                <w:noProof/>
                <w:webHidden/>
              </w:rPr>
              <w:tab/>
            </w:r>
            <w:r w:rsidR="00AC1CC9">
              <w:rPr>
                <w:noProof/>
                <w:webHidden/>
              </w:rPr>
              <w:fldChar w:fldCharType="begin"/>
            </w:r>
            <w:r w:rsidR="00AC1CC9">
              <w:rPr>
                <w:noProof/>
                <w:webHidden/>
              </w:rPr>
              <w:instrText xml:space="preserve"> PAGEREF _Toc237322993 \h </w:instrText>
            </w:r>
            <w:r w:rsidR="00AC1CC9">
              <w:rPr>
                <w:noProof/>
                <w:webHidden/>
              </w:rPr>
            </w:r>
            <w:r w:rsidR="00AC1CC9">
              <w:rPr>
                <w:noProof/>
                <w:webHidden/>
              </w:rPr>
              <w:fldChar w:fldCharType="separate"/>
            </w:r>
            <w:r w:rsidR="00AC1CC9">
              <w:rPr>
                <w:noProof/>
                <w:webHidden/>
              </w:rPr>
              <w:t>5</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4" w:history="1">
            <w:r w:rsidR="00AC1CC9" w:rsidRPr="00EB0070">
              <w:rPr>
                <w:rStyle w:val="Hyperlink"/>
                <w:noProof/>
              </w:rPr>
              <w:t>Guidance for End-Point Detection and Response (EDR) Projects</w:t>
            </w:r>
            <w:r w:rsidR="00AC1CC9">
              <w:rPr>
                <w:noProof/>
                <w:webHidden/>
              </w:rPr>
              <w:tab/>
            </w:r>
            <w:r w:rsidR="00AC1CC9">
              <w:rPr>
                <w:noProof/>
                <w:webHidden/>
              </w:rPr>
              <w:fldChar w:fldCharType="begin"/>
            </w:r>
            <w:r w:rsidR="00AC1CC9">
              <w:rPr>
                <w:noProof/>
                <w:webHidden/>
              </w:rPr>
              <w:instrText xml:space="preserve"> PAGEREF _Toc237322994 \h </w:instrText>
            </w:r>
            <w:r w:rsidR="00AC1CC9">
              <w:rPr>
                <w:noProof/>
                <w:webHidden/>
              </w:rPr>
            </w:r>
            <w:r w:rsidR="00AC1CC9">
              <w:rPr>
                <w:noProof/>
                <w:webHidden/>
              </w:rPr>
              <w:fldChar w:fldCharType="separate"/>
            </w:r>
            <w:r w:rsidR="00AC1CC9">
              <w:rPr>
                <w:noProof/>
                <w:webHidden/>
              </w:rPr>
              <w:t>5</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5" w:history="1">
            <w:r w:rsidR="00AC1CC9" w:rsidRPr="00EB0070">
              <w:rPr>
                <w:rStyle w:val="Hyperlink"/>
                <w:noProof/>
              </w:rPr>
              <w:t>Guidance for Email Security (such as Secure Email Gateway (SEG) solutions) Projects</w:t>
            </w:r>
            <w:r w:rsidR="00AC1CC9">
              <w:rPr>
                <w:noProof/>
                <w:webHidden/>
              </w:rPr>
              <w:tab/>
            </w:r>
            <w:r w:rsidR="00AC1CC9">
              <w:rPr>
                <w:noProof/>
                <w:webHidden/>
              </w:rPr>
              <w:fldChar w:fldCharType="begin"/>
            </w:r>
            <w:r w:rsidR="00AC1CC9">
              <w:rPr>
                <w:noProof/>
                <w:webHidden/>
              </w:rPr>
              <w:instrText xml:space="preserve"> PAGEREF _Toc237322995 \h </w:instrText>
            </w:r>
            <w:r w:rsidR="00AC1CC9">
              <w:rPr>
                <w:noProof/>
                <w:webHidden/>
              </w:rPr>
            </w:r>
            <w:r w:rsidR="00AC1CC9">
              <w:rPr>
                <w:noProof/>
                <w:webHidden/>
              </w:rPr>
              <w:fldChar w:fldCharType="separate"/>
            </w:r>
            <w:r w:rsidR="00AC1CC9">
              <w:rPr>
                <w:noProof/>
                <w:webHidden/>
              </w:rPr>
              <w:t>6</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6" w:history="1">
            <w:r w:rsidR="00AC1CC9" w:rsidRPr="00EB0070">
              <w:rPr>
                <w:rStyle w:val="Hyperlink"/>
                <w:noProof/>
              </w:rPr>
              <w:t>Guidance for Security Awareness Training Projects</w:t>
            </w:r>
            <w:r w:rsidR="00AC1CC9">
              <w:rPr>
                <w:noProof/>
                <w:webHidden/>
              </w:rPr>
              <w:tab/>
            </w:r>
            <w:r w:rsidR="00AC1CC9">
              <w:rPr>
                <w:noProof/>
                <w:webHidden/>
              </w:rPr>
              <w:fldChar w:fldCharType="begin"/>
            </w:r>
            <w:r w:rsidR="00AC1CC9">
              <w:rPr>
                <w:noProof/>
                <w:webHidden/>
              </w:rPr>
              <w:instrText xml:space="preserve"> PAGEREF _Toc237322996 \h </w:instrText>
            </w:r>
            <w:r w:rsidR="00AC1CC9">
              <w:rPr>
                <w:noProof/>
                <w:webHidden/>
              </w:rPr>
            </w:r>
            <w:r w:rsidR="00AC1CC9">
              <w:rPr>
                <w:noProof/>
                <w:webHidden/>
              </w:rPr>
              <w:fldChar w:fldCharType="separate"/>
            </w:r>
            <w:r w:rsidR="00AC1CC9">
              <w:rPr>
                <w:noProof/>
                <w:webHidden/>
              </w:rPr>
              <w:t>7</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2997" w:history="1">
            <w:r w:rsidR="00AC1CC9" w:rsidRPr="00EB0070">
              <w:rPr>
                <w:rStyle w:val="Hyperlink"/>
                <w:noProof/>
              </w:rPr>
              <w:t>Project Category Two</w:t>
            </w:r>
            <w:r w:rsidR="00AC1CC9">
              <w:rPr>
                <w:noProof/>
                <w:webHidden/>
              </w:rPr>
              <w:tab/>
            </w:r>
            <w:r w:rsidR="00AC1CC9">
              <w:rPr>
                <w:noProof/>
                <w:webHidden/>
              </w:rPr>
              <w:fldChar w:fldCharType="begin"/>
            </w:r>
            <w:r w:rsidR="00AC1CC9">
              <w:rPr>
                <w:noProof/>
                <w:webHidden/>
              </w:rPr>
              <w:instrText xml:space="preserve"> PAGEREF _Toc237322997 \h </w:instrText>
            </w:r>
            <w:r w:rsidR="00AC1CC9">
              <w:rPr>
                <w:noProof/>
                <w:webHidden/>
              </w:rPr>
            </w:r>
            <w:r w:rsidR="00AC1CC9">
              <w:rPr>
                <w:noProof/>
                <w:webHidden/>
              </w:rPr>
              <w:fldChar w:fldCharType="separate"/>
            </w:r>
            <w:r w:rsidR="00AC1CC9">
              <w:rPr>
                <w:noProof/>
                <w:webHidden/>
              </w:rPr>
              <w:t>7</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8" w:history="1">
            <w:r w:rsidR="00AC1CC9" w:rsidRPr="00EB0070">
              <w:rPr>
                <w:rStyle w:val="Hyperlink"/>
                <w:noProof/>
              </w:rPr>
              <w:t>Definitions for General Cybersecurity Best Practices</w:t>
            </w:r>
            <w:r w:rsidR="00AC1CC9">
              <w:rPr>
                <w:noProof/>
                <w:webHidden/>
              </w:rPr>
              <w:tab/>
            </w:r>
            <w:r w:rsidR="00AC1CC9">
              <w:rPr>
                <w:noProof/>
                <w:webHidden/>
              </w:rPr>
              <w:fldChar w:fldCharType="begin"/>
            </w:r>
            <w:r w:rsidR="00AC1CC9">
              <w:rPr>
                <w:noProof/>
                <w:webHidden/>
              </w:rPr>
              <w:instrText xml:space="preserve"> PAGEREF _Toc237322998 \h </w:instrText>
            </w:r>
            <w:r w:rsidR="00AC1CC9">
              <w:rPr>
                <w:noProof/>
                <w:webHidden/>
              </w:rPr>
            </w:r>
            <w:r w:rsidR="00AC1CC9">
              <w:rPr>
                <w:noProof/>
                <w:webHidden/>
              </w:rPr>
              <w:fldChar w:fldCharType="separate"/>
            </w:r>
            <w:r w:rsidR="00AC1CC9">
              <w:rPr>
                <w:noProof/>
                <w:webHidden/>
              </w:rPr>
              <w:t>8</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2999" w:history="1">
            <w:r w:rsidR="00AC1CC9" w:rsidRPr="00EB0070">
              <w:rPr>
                <w:rStyle w:val="Hyperlink"/>
                <w:noProof/>
              </w:rPr>
              <w:t>Maryland DoIT Standards and Guidance for General Cybersecurity Best Practices</w:t>
            </w:r>
            <w:r w:rsidR="00AC1CC9">
              <w:rPr>
                <w:noProof/>
                <w:webHidden/>
              </w:rPr>
              <w:tab/>
            </w:r>
            <w:r w:rsidR="00AC1CC9">
              <w:rPr>
                <w:noProof/>
                <w:webHidden/>
              </w:rPr>
              <w:fldChar w:fldCharType="begin"/>
            </w:r>
            <w:r w:rsidR="00AC1CC9">
              <w:rPr>
                <w:noProof/>
                <w:webHidden/>
              </w:rPr>
              <w:instrText xml:space="preserve"> PAGEREF _Toc237322999 \h </w:instrText>
            </w:r>
            <w:r w:rsidR="00AC1CC9">
              <w:rPr>
                <w:noProof/>
                <w:webHidden/>
              </w:rPr>
            </w:r>
            <w:r w:rsidR="00AC1CC9">
              <w:rPr>
                <w:noProof/>
                <w:webHidden/>
              </w:rPr>
              <w:fldChar w:fldCharType="separate"/>
            </w:r>
            <w:r w:rsidR="00AC1CC9">
              <w:rPr>
                <w:noProof/>
                <w:webHidden/>
              </w:rPr>
              <w:t>8</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3000" w:history="1">
            <w:r w:rsidR="00AC1CC9" w:rsidRPr="00EB0070">
              <w:rPr>
                <w:rStyle w:val="Hyperlink"/>
                <w:noProof/>
              </w:rPr>
              <w:t>Project Category Three</w:t>
            </w:r>
            <w:r w:rsidR="00AC1CC9">
              <w:rPr>
                <w:noProof/>
                <w:webHidden/>
              </w:rPr>
              <w:tab/>
            </w:r>
            <w:r w:rsidR="00AC1CC9">
              <w:rPr>
                <w:noProof/>
                <w:webHidden/>
              </w:rPr>
              <w:fldChar w:fldCharType="begin"/>
            </w:r>
            <w:r w:rsidR="00AC1CC9">
              <w:rPr>
                <w:noProof/>
                <w:webHidden/>
              </w:rPr>
              <w:instrText xml:space="preserve"> PAGEREF _Toc237323000 \h </w:instrText>
            </w:r>
            <w:r w:rsidR="00AC1CC9">
              <w:rPr>
                <w:noProof/>
                <w:webHidden/>
              </w:rPr>
            </w:r>
            <w:r w:rsidR="00AC1CC9">
              <w:rPr>
                <w:noProof/>
                <w:webHidden/>
              </w:rPr>
              <w:fldChar w:fldCharType="separate"/>
            </w:r>
            <w:r w:rsidR="00AC1CC9">
              <w:rPr>
                <w:noProof/>
                <w:webHidden/>
              </w:rPr>
              <w:t>9</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3001" w:history="1">
            <w:r w:rsidR="00AC1CC9" w:rsidRPr="00EB0070">
              <w:rPr>
                <w:rStyle w:val="Hyperlink"/>
                <w:noProof/>
              </w:rPr>
              <w:t>Maryland DoIT Standards and Guidance for Cybersecurity Policy and Governance</w:t>
            </w:r>
            <w:r w:rsidR="00AC1CC9">
              <w:rPr>
                <w:noProof/>
                <w:webHidden/>
              </w:rPr>
              <w:tab/>
            </w:r>
            <w:r w:rsidR="00AC1CC9">
              <w:rPr>
                <w:noProof/>
                <w:webHidden/>
              </w:rPr>
              <w:fldChar w:fldCharType="begin"/>
            </w:r>
            <w:r w:rsidR="00AC1CC9">
              <w:rPr>
                <w:noProof/>
                <w:webHidden/>
              </w:rPr>
              <w:instrText xml:space="preserve"> PAGEREF _Toc237323001 \h </w:instrText>
            </w:r>
            <w:r w:rsidR="00AC1CC9">
              <w:rPr>
                <w:noProof/>
                <w:webHidden/>
              </w:rPr>
            </w:r>
            <w:r w:rsidR="00AC1CC9">
              <w:rPr>
                <w:noProof/>
                <w:webHidden/>
              </w:rPr>
              <w:fldChar w:fldCharType="separate"/>
            </w:r>
            <w:r w:rsidR="00AC1CC9">
              <w:rPr>
                <w:noProof/>
                <w:webHidden/>
              </w:rPr>
              <w:t>9</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3002" w:history="1">
            <w:r w:rsidR="00AC1CC9" w:rsidRPr="00EB0070">
              <w:rPr>
                <w:rStyle w:val="Hyperlink"/>
                <w:noProof/>
              </w:rPr>
              <w:t>Project Category Four</w:t>
            </w:r>
            <w:r w:rsidR="00AC1CC9">
              <w:rPr>
                <w:noProof/>
                <w:webHidden/>
              </w:rPr>
              <w:tab/>
            </w:r>
            <w:r w:rsidR="00AC1CC9">
              <w:rPr>
                <w:noProof/>
                <w:webHidden/>
              </w:rPr>
              <w:fldChar w:fldCharType="begin"/>
            </w:r>
            <w:r w:rsidR="00AC1CC9">
              <w:rPr>
                <w:noProof/>
                <w:webHidden/>
              </w:rPr>
              <w:instrText xml:space="preserve"> PAGEREF _Toc237323002 \h </w:instrText>
            </w:r>
            <w:r w:rsidR="00AC1CC9">
              <w:rPr>
                <w:noProof/>
                <w:webHidden/>
              </w:rPr>
            </w:r>
            <w:r w:rsidR="00AC1CC9">
              <w:rPr>
                <w:noProof/>
                <w:webHidden/>
              </w:rPr>
              <w:fldChar w:fldCharType="separate"/>
            </w:r>
            <w:r w:rsidR="00AC1CC9">
              <w:rPr>
                <w:noProof/>
                <w:webHidden/>
              </w:rPr>
              <w:t>9</w:t>
            </w:r>
            <w:r w:rsidR="00AC1CC9">
              <w:rPr>
                <w:noProof/>
                <w:webHidden/>
              </w:rPr>
              <w:fldChar w:fldCharType="end"/>
            </w:r>
          </w:hyperlink>
        </w:p>
        <w:p w:rsidR="00AC1CC9" w:rsidRDefault="0053470F">
          <w:pPr>
            <w:pStyle w:val="TOC1"/>
            <w:tabs>
              <w:tab w:val="right" w:leader="dot" w:pos="9350"/>
            </w:tabs>
            <w:rPr>
              <w:rFonts w:asciiTheme="minorHAnsi" w:eastAsiaTheme="minorEastAsia" w:hAnsiTheme="minorHAnsi" w:cstheme="minorBidi"/>
              <w:noProof/>
              <w:kern w:val="2"/>
              <w:szCs w:val="24"/>
              <w:lang w:val="en-US"/>
              <w14:ligatures w14:val="standardContextual"/>
            </w:rPr>
          </w:pPr>
          <w:hyperlink w:anchor="_Toc237323003" w:history="1">
            <w:r w:rsidR="00AC1CC9" w:rsidRPr="00EB0070">
              <w:rPr>
                <w:rStyle w:val="Hyperlink"/>
                <w:noProof/>
              </w:rPr>
              <w:t>Project Category Five</w:t>
            </w:r>
            <w:r w:rsidR="00AC1CC9">
              <w:rPr>
                <w:noProof/>
                <w:webHidden/>
              </w:rPr>
              <w:tab/>
            </w:r>
            <w:r w:rsidR="00AC1CC9">
              <w:rPr>
                <w:noProof/>
                <w:webHidden/>
              </w:rPr>
              <w:fldChar w:fldCharType="begin"/>
            </w:r>
            <w:r w:rsidR="00AC1CC9">
              <w:rPr>
                <w:noProof/>
                <w:webHidden/>
              </w:rPr>
              <w:instrText xml:space="preserve"> PAGEREF _Toc237323003 \h </w:instrText>
            </w:r>
            <w:r w:rsidR="00AC1CC9">
              <w:rPr>
                <w:noProof/>
                <w:webHidden/>
              </w:rPr>
            </w:r>
            <w:r w:rsidR="00AC1CC9">
              <w:rPr>
                <w:noProof/>
                <w:webHidden/>
              </w:rPr>
              <w:fldChar w:fldCharType="separate"/>
            </w:r>
            <w:r w:rsidR="00AC1CC9">
              <w:rPr>
                <w:noProof/>
                <w:webHidden/>
              </w:rPr>
              <w:t>10</w:t>
            </w:r>
            <w:r w:rsidR="00AC1CC9">
              <w:rPr>
                <w:noProof/>
                <w:webHidden/>
              </w:rPr>
              <w:fldChar w:fldCharType="end"/>
            </w:r>
          </w:hyperlink>
        </w:p>
        <w:p w:rsidR="00AC1CC9" w:rsidRDefault="0053470F">
          <w:pPr>
            <w:pStyle w:val="TOC2"/>
            <w:tabs>
              <w:tab w:val="right" w:leader="dot" w:pos="9350"/>
            </w:tabs>
            <w:rPr>
              <w:rFonts w:asciiTheme="minorHAnsi" w:eastAsiaTheme="minorEastAsia" w:hAnsiTheme="minorHAnsi" w:cstheme="minorBidi"/>
              <w:noProof/>
              <w:kern w:val="2"/>
              <w:szCs w:val="24"/>
              <w:lang w:val="en-US"/>
              <w14:ligatures w14:val="standardContextual"/>
            </w:rPr>
          </w:pPr>
          <w:hyperlink w:anchor="_Toc237323004" w:history="1">
            <w:r w:rsidR="00AC1CC9" w:rsidRPr="00EB0070">
              <w:rPr>
                <w:rStyle w:val="Hyperlink"/>
                <w:noProof/>
              </w:rPr>
              <w:t>Guidance for NICE Cybersecurity Framework</w:t>
            </w:r>
            <w:r w:rsidR="00AC1CC9">
              <w:rPr>
                <w:noProof/>
                <w:webHidden/>
              </w:rPr>
              <w:tab/>
            </w:r>
            <w:r w:rsidR="00AC1CC9">
              <w:rPr>
                <w:noProof/>
                <w:webHidden/>
              </w:rPr>
              <w:fldChar w:fldCharType="begin"/>
            </w:r>
            <w:r w:rsidR="00AC1CC9">
              <w:rPr>
                <w:noProof/>
                <w:webHidden/>
              </w:rPr>
              <w:instrText xml:space="preserve"> PAGEREF _Toc237323004 \h </w:instrText>
            </w:r>
            <w:r w:rsidR="00AC1CC9">
              <w:rPr>
                <w:noProof/>
                <w:webHidden/>
              </w:rPr>
            </w:r>
            <w:r w:rsidR="00AC1CC9">
              <w:rPr>
                <w:noProof/>
                <w:webHidden/>
              </w:rPr>
              <w:fldChar w:fldCharType="separate"/>
            </w:r>
            <w:r w:rsidR="00AC1CC9">
              <w:rPr>
                <w:noProof/>
                <w:webHidden/>
              </w:rPr>
              <w:t>10</w:t>
            </w:r>
            <w:r w:rsidR="00AC1CC9">
              <w:rPr>
                <w:noProof/>
                <w:webHidden/>
              </w:rPr>
              <w:fldChar w:fldCharType="end"/>
            </w:r>
          </w:hyperlink>
        </w:p>
        <w:p w:rsidR="00466A3E" w:rsidRPr="00AC1CC9" w:rsidRDefault="0053470F" w:rsidP="00AC1CC9">
          <w:pPr>
            <w:rPr>
              <w:color w:val="000000"/>
            </w:rPr>
          </w:pPr>
          <w:r w:rsidRPr="00AC1CC9">
            <w:fldChar w:fldCharType="end"/>
          </w:r>
        </w:p>
      </w:sdtContent>
    </w:sdt>
    <w:p w:rsidR="00466A3E" w:rsidRDefault="00466A3E" w:rsidP="00AC1CC9"/>
    <w:p w:rsidR="00466A3E" w:rsidRDefault="0053470F" w:rsidP="00AC1CC9">
      <w:pPr>
        <w:pStyle w:val="Heading1"/>
      </w:pPr>
      <w:bookmarkStart w:id="2" w:name="_Toc237322989"/>
      <w:r>
        <w:lastRenderedPageBreak/>
        <w:t>Overview</w:t>
      </w:r>
      <w:bookmarkEnd w:id="2"/>
      <w:r>
        <w:t xml:space="preserve"> </w:t>
      </w:r>
    </w:p>
    <w:p w:rsidR="00466A3E" w:rsidRPr="00AC1CC9" w:rsidRDefault="0053470F" w:rsidP="00AC1CC9">
      <w:r w:rsidRPr="00AC1CC9">
        <w:t>The following information provides additional guidance on the 5 Project Categories identified by the Maryland Cyber Planning Committee (“the Committee”). The Committee has de</w:t>
      </w:r>
      <w:r w:rsidRPr="00AC1CC9">
        <w:t xml:space="preserve">veloped a reimbursable Sub-grant program where eligible entities can apply for funding for their own projects under one of the five Project Categories. </w:t>
      </w:r>
    </w:p>
    <w:p w:rsidR="00466A3E" w:rsidRPr="00AC1CC9" w:rsidRDefault="00466A3E" w:rsidP="00AC1CC9"/>
    <w:p w:rsidR="00466A3E" w:rsidRPr="00AC1CC9" w:rsidRDefault="0053470F" w:rsidP="00AC1CC9">
      <w:r w:rsidRPr="00AC1CC9">
        <w:t>Regardless of the Project Category you select for your project, all subrecipients must not start proje</w:t>
      </w:r>
      <w:r w:rsidRPr="00AC1CC9">
        <w:t>cts prior to signing and submitting a Subrecipient Award Agreement (SRA) with the Maryland Department of Emergency Management. Project activities initiated prior to the signing of the SRA may result in a partial or full termination of the approved project.</w:t>
      </w:r>
      <w:r w:rsidRPr="00AC1CC9">
        <w:t xml:space="preserve"> Please ensure that you and any vendors are aware of this requirement throughout the application process. </w:t>
      </w:r>
    </w:p>
    <w:p w:rsidR="00466A3E" w:rsidRDefault="0053470F" w:rsidP="00AC1CC9">
      <w:pPr>
        <w:pStyle w:val="Heading1"/>
      </w:pPr>
      <w:bookmarkStart w:id="3" w:name="_Toc237322990"/>
      <w:r>
        <w:t>Guidance for using Vendor Services</w:t>
      </w:r>
      <w:bookmarkEnd w:id="3"/>
      <w:r>
        <w:t xml:space="preserve"> </w:t>
      </w:r>
    </w:p>
    <w:p w:rsidR="00466A3E" w:rsidRPr="00AC1CC9" w:rsidRDefault="0053470F" w:rsidP="00AC1CC9">
      <w:r w:rsidRPr="00AC1CC9">
        <w:t>If you intend to use a vendor for your project, please ensure you and your vendor are aware of the following info</w:t>
      </w:r>
      <w:r w:rsidRPr="00AC1CC9">
        <w:t xml:space="preserve">rmation. </w:t>
      </w:r>
    </w:p>
    <w:p w:rsidR="00466A3E" w:rsidRDefault="00466A3E" w:rsidP="00AC1CC9"/>
    <w:p w:rsidR="00466A3E" w:rsidRPr="00AC1CC9" w:rsidRDefault="0053470F" w:rsidP="00AC1CC9">
      <w:pPr>
        <w:rPr>
          <w:b/>
          <w:bCs/>
        </w:rPr>
      </w:pPr>
      <w:r w:rsidRPr="00AC1CC9">
        <w:rPr>
          <w:b/>
          <w:bCs/>
        </w:rPr>
        <w:t>Minimum Vendor Qualifications</w:t>
      </w:r>
    </w:p>
    <w:p w:rsidR="00466A3E" w:rsidRPr="00AC1CC9" w:rsidRDefault="0053470F" w:rsidP="00AC1CC9">
      <w:pPr>
        <w:rPr>
          <w:b/>
          <w:bCs/>
        </w:rPr>
      </w:pPr>
      <w:r w:rsidRPr="00AC1CC9">
        <w:rPr>
          <w:b/>
          <w:bCs/>
        </w:rPr>
        <w:t>Administrative Qualifications</w:t>
      </w:r>
    </w:p>
    <w:p w:rsidR="00466A3E" w:rsidRPr="00AC1CC9" w:rsidRDefault="0053470F" w:rsidP="00AC1CC9">
      <w:pPr>
        <w:pStyle w:val="ListParagraph"/>
        <w:numPr>
          <w:ilvl w:val="0"/>
          <w:numId w:val="5"/>
        </w:numPr>
      </w:pPr>
      <w:r w:rsidRPr="00AC1CC9">
        <w:t xml:space="preserve">Must be able to provide </w:t>
      </w:r>
      <w:hyperlink r:id="rId8">
        <w:r w:rsidRPr="00AC1CC9">
          <w:rPr>
            <w:color w:val="1155CC"/>
            <w:u w:val="single"/>
          </w:rPr>
          <w:t>SAM.gov</w:t>
        </w:r>
      </w:hyperlink>
      <w:r w:rsidRPr="00AC1CC9">
        <w:t xml:space="preserve"> information. </w:t>
      </w:r>
    </w:p>
    <w:p w:rsidR="00466A3E" w:rsidRPr="00AC1CC9" w:rsidRDefault="0053470F" w:rsidP="00AC1CC9">
      <w:pPr>
        <w:pStyle w:val="ListParagraph"/>
        <w:numPr>
          <w:ilvl w:val="0"/>
          <w:numId w:val="5"/>
        </w:numPr>
      </w:pPr>
      <w:r w:rsidRPr="00AC1CC9">
        <w:t>Must be able to provide Small Business designation and certification (if applicable)</w:t>
      </w:r>
    </w:p>
    <w:p w:rsidR="00466A3E" w:rsidRPr="00AC1CC9" w:rsidRDefault="0053470F" w:rsidP="00AC1CC9">
      <w:pPr>
        <w:pStyle w:val="ListParagraph"/>
        <w:numPr>
          <w:ilvl w:val="1"/>
          <w:numId w:val="5"/>
        </w:numPr>
      </w:pPr>
      <w:r w:rsidRPr="00AC1CC9">
        <w:t>Small Business</w:t>
      </w:r>
    </w:p>
    <w:p w:rsidR="00466A3E" w:rsidRPr="00AC1CC9" w:rsidRDefault="0053470F" w:rsidP="00AC1CC9">
      <w:pPr>
        <w:pStyle w:val="ListParagraph"/>
        <w:numPr>
          <w:ilvl w:val="1"/>
          <w:numId w:val="5"/>
        </w:numPr>
      </w:pPr>
      <w:r w:rsidRPr="00AC1CC9">
        <w:t>Women</w:t>
      </w:r>
      <w:r w:rsidRPr="00AC1CC9">
        <w:t>-owned</w:t>
      </w:r>
    </w:p>
    <w:p w:rsidR="00466A3E" w:rsidRPr="00AC1CC9" w:rsidRDefault="0053470F" w:rsidP="00AC1CC9">
      <w:pPr>
        <w:pStyle w:val="ListParagraph"/>
        <w:numPr>
          <w:ilvl w:val="1"/>
          <w:numId w:val="5"/>
        </w:numPr>
      </w:pPr>
      <w:r w:rsidRPr="00AC1CC9">
        <w:t>HUBZone</w:t>
      </w:r>
    </w:p>
    <w:p w:rsidR="00466A3E" w:rsidRPr="00AC1CC9" w:rsidRDefault="0053470F" w:rsidP="00AC1CC9">
      <w:pPr>
        <w:pStyle w:val="ListParagraph"/>
        <w:numPr>
          <w:ilvl w:val="1"/>
          <w:numId w:val="5"/>
        </w:numPr>
      </w:pPr>
      <w:r w:rsidRPr="00AC1CC9">
        <w:t>SDB</w:t>
      </w:r>
    </w:p>
    <w:p w:rsidR="00466A3E" w:rsidRPr="00AC1CC9" w:rsidRDefault="0053470F" w:rsidP="00AC1CC9">
      <w:pPr>
        <w:pStyle w:val="ListParagraph"/>
        <w:numPr>
          <w:ilvl w:val="1"/>
          <w:numId w:val="5"/>
        </w:numPr>
      </w:pPr>
      <w:r w:rsidRPr="00AC1CC9">
        <w:t>Veteran-owned</w:t>
      </w:r>
    </w:p>
    <w:p w:rsidR="00466A3E" w:rsidRPr="00AC1CC9" w:rsidRDefault="0053470F" w:rsidP="00AC1CC9">
      <w:pPr>
        <w:pStyle w:val="ListParagraph"/>
        <w:numPr>
          <w:ilvl w:val="1"/>
          <w:numId w:val="5"/>
        </w:numPr>
      </w:pPr>
      <w:r w:rsidRPr="00AC1CC9">
        <w:t>8(a)</w:t>
      </w:r>
    </w:p>
    <w:p w:rsidR="00466A3E" w:rsidRPr="00AC1CC9" w:rsidRDefault="0053470F" w:rsidP="00AC1CC9">
      <w:pPr>
        <w:pStyle w:val="ListParagraph"/>
        <w:numPr>
          <w:ilvl w:val="1"/>
          <w:numId w:val="5"/>
        </w:numPr>
      </w:pPr>
      <w:r w:rsidRPr="00AC1CC9">
        <w:t>Service-disabled veteran-owned</w:t>
      </w:r>
    </w:p>
    <w:p w:rsidR="00466A3E" w:rsidRDefault="00466A3E" w:rsidP="00AC1CC9"/>
    <w:p w:rsidR="00466A3E" w:rsidRPr="00AC1CC9" w:rsidRDefault="0053470F" w:rsidP="00AC1CC9">
      <w:pPr>
        <w:rPr>
          <w:b/>
          <w:bCs/>
        </w:rPr>
      </w:pPr>
      <w:r w:rsidRPr="00AC1CC9">
        <w:rPr>
          <w:b/>
          <w:bCs/>
        </w:rPr>
        <w:t>Technical Qualifications</w:t>
      </w:r>
    </w:p>
    <w:p w:rsidR="00466A3E" w:rsidRPr="00AC1CC9" w:rsidRDefault="0053470F" w:rsidP="00AC1CC9">
      <w:pPr>
        <w:pStyle w:val="ListParagraph"/>
        <w:numPr>
          <w:ilvl w:val="0"/>
          <w:numId w:val="2"/>
        </w:numPr>
      </w:pPr>
      <w:r w:rsidRPr="00AC1CC9">
        <w:lastRenderedPageBreak/>
        <w:t>Must be able to provide proof of qualification to perform deliverables identified in the project</w:t>
      </w:r>
    </w:p>
    <w:p w:rsidR="00466A3E" w:rsidRPr="00AC1CC9" w:rsidRDefault="0053470F" w:rsidP="00AC1CC9">
      <w:pPr>
        <w:pStyle w:val="ListParagraph"/>
        <w:numPr>
          <w:ilvl w:val="0"/>
          <w:numId w:val="2"/>
        </w:numPr>
      </w:pPr>
      <w:r w:rsidRPr="00AC1CC9">
        <w:t>Regulatory Alignment Compliance with NIST Standards</w:t>
      </w:r>
    </w:p>
    <w:p w:rsidR="00466A3E" w:rsidRPr="00AC1CC9" w:rsidRDefault="0053470F" w:rsidP="00AC1CC9">
      <w:pPr>
        <w:pStyle w:val="ListParagraph"/>
        <w:numPr>
          <w:ilvl w:val="0"/>
          <w:numId w:val="2"/>
        </w:numPr>
      </w:pPr>
      <w:r w:rsidRPr="00AC1CC9">
        <w:t>Must be able</w:t>
      </w:r>
      <w:r w:rsidRPr="00AC1CC9">
        <w:t xml:space="preserve"> to provide proof of adequate data management processes (if requested)</w:t>
      </w:r>
    </w:p>
    <w:p w:rsidR="00466A3E" w:rsidRDefault="00466A3E" w:rsidP="00AC1CC9"/>
    <w:p w:rsidR="00466A3E" w:rsidRPr="00AC1CC9" w:rsidRDefault="0053470F" w:rsidP="00AC1CC9">
      <w:pPr>
        <w:rPr>
          <w:b/>
          <w:bCs/>
        </w:rPr>
      </w:pPr>
      <w:r w:rsidRPr="00AC1CC9">
        <w:rPr>
          <w:b/>
          <w:bCs/>
        </w:rPr>
        <w:t xml:space="preserve">Quotes Validation Period </w:t>
      </w:r>
    </w:p>
    <w:p w:rsidR="00466A3E" w:rsidRPr="00AC1CC9" w:rsidRDefault="0053470F" w:rsidP="00AC1CC9">
      <w:pPr>
        <w:pStyle w:val="ListParagraph"/>
        <w:numPr>
          <w:ilvl w:val="0"/>
          <w:numId w:val="1"/>
        </w:numPr>
      </w:pPr>
      <w:r w:rsidRPr="00AC1CC9">
        <w:t>A vendor must ensure that the quote provided will remain valid throughout the SLCGP FFY2024 period of performance.</w:t>
      </w:r>
    </w:p>
    <w:p w:rsidR="00466A3E" w:rsidRDefault="00466A3E" w:rsidP="00AC1CC9"/>
    <w:p w:rsidR="00466A3E" w:rsidRPr="00AC1CC9" w:rsidRDefault="0053470F" w:rsidP="00AC1CC9">
      <w:pPr>
        <w:rPr>
          <w:b/>
          <w:bCs/>
        </w:rPr>
      </w:pPr>
      <w:r w:rsidRPr="00AC1CC9">
        <w:rPr>
          <w:b/>
          <w:bCs/>
        </w:rPr>
        <w:t>Compliant Procurement Process Statement</w:t>
      </w:r>
    </w:p>
    <w:p w:rsidR="00466A3E" w:rsidRDefault="0053470F" w:rsidP="00AC1CC9">
      <w:r>
        <w:t>To</w:t>
      </w:r>
      <w:r>
        <w:t xml:space="preserve"> ensure compliance with all FEMA SLCGP requirements, all subrecipients must adhere to established selection protocols and maintain comprehensive records that show proof of a compliant bidding process, including documentation such as bid invitations, evalua</w:t>
      </w:r>
      <w:r>
        <w:t xml:space="preserve">tion rubrics, and selection justifications. These records must be preserved in an audit-ready state to demonstrate our full adherence to regulatory requirements and internal governance policies at all times. </w:t>
      </w:r>
    </w:p>
    <w:p w:rsidR="00466A3E" w:rsidRDefault="00466A3E" w:rsidP="00AC1CC9"/>
    <w:p w:rsidR="00466A3E" w:rsidRPr="00AC1CC9" w:rsidRDefault="0053470F" w:rsidP="00AC1CC9">
      <w:pPr>
        <w:rPr>
          <w:b/>
          <w:bCs/>
        </w:rPr>
      </w:pPr>
      <w:r w:rsidRPr="00AC1CC9">
        <w:rPr>
          <w:b/>
          <w:bCs/>
        </w:rPr>
        <w:t>Submission Deadlines</w:t>
      </w:r>
    </w:p>
    <w:p w:rsidR="00466A3E" w:rsidRDefault="0053470F" w:rsidP="00AC1CC9">
      <w:r>
        <w:t>Vendors must be able to r</w:t>
      </w:r>
      <w:r>
        <w:t xml:space="preserve">ender all agreed-upon services within the allotted period of performance (POP). Please review the “Maryland SLCGP FFY2024 Funding Guide” for information on the Period of Performance. </w:t>
      </w:r>
    </w:p>
    <w:p w:rsidR="00466A3E" w:rsidRDefault="0053470F" w:rsidP="00AC1CC9">
      <w:pPr>
        <w:pStyle w:val="Heading1"/>
      </w:pPr>
      <w:bookmarkStart w:id="4" w:name="_Toc237322991"/>
      <w:r>
        <w:t>Project Category One</w:t>
      </w:r>
      <w:bookmarkEnd w:id="4"/>
    </w:p>
    <w:p w:rsidR="00466A3E" w:rsidRDefault="0053470F" w:rsidP="00AC1CC9">
      <w:r w:rsidRPr="00AC1CC9">
        <w:t>Project Category 1 (PC1)</w:t>
      </w:r>
      <w:r>
        <w:t xml:space="preserve"> is the “Adoption or enhanc</w:t>
      </w:r>
      <w:r>
        <w:t xml:space="preserve">ement of priority cybersecurity best practices”.  The Maryland Cybersecurity Planning Committee has identified five baseline best practices that will significantly enhance the cybersecurity posture across the </w:t>
      </w:r>
      <w:r w:rsidR="00AC1CC9">
        <w:t>state and</w:t>
      </w:r>
      <w:r>
        <w:t xml:space="preserve"> fit into this category. </w:t>
      </w:r>
    </w:p>
    <w:p w:rsidR="00466A3E" w:rsidRDefault="00466A3E" w:rsidP="00AC1CC9"/>
    <w:p w:rsidR="00466A3E" w:rsidRDefault="0053470F" w:rsidP="00AC1CC9">
      <w:r>
        <w:t xml:space="preserve">These best </w:t>
      </w:r>
      <w:r>
        <w:t>practices are: (1) Asset Discovery &amp; Vulnerability Management; (2) Multi-Factor Authentication (MFA); (3) End-Point Detection and Response (EDR); (4) Email Security (such as Secure Email Gateway (SEG) solutions); and (5) Security Awareness Training.</w:t>
      </w:r>
    </w:p>
    <w:p w:rsidR="00466A3E" w:rsidRDefault="00466A3E" w:rsidP="00AC1CC9"/>
    <w:p w:rsidR="00466A3E" w:rsidRDefault="0053470F" w:rsidP="00AC1CC9">
      <w:pPr>
        <w:pStyle w:val="Heading2"/>
      </w:pPr>
      <w:bookmarkStart w:id="5" w:name="_Toc237322992"/>
      <w:r>
        <w:t>Guida</w:t>
      </w:r>
      <w:r>
        <w:t>nce for Asset Discovery &amp; Vulnerability Management Projects</w:t>
      </w:r>
      <w:bookmarkEnd w:id="5"/>
    </w:p>
    <w:p w:rsidR="00466A3E" w:rsidRDefault="00466A3E" w:rsidP="00AC1CC9"/>
    <w:p w:rsidR="00466A3E" w:rsidRDefault="0053470F" w:rsidP="00AC1CC9">
      <w:r>
        <w:t>How the State Defines Asset Discovery and Vulnerability Management</w:t>
      </w:r>
    </w:p>
    <w:p w:rsidR="00466A3E" w:rsidRDefault="0053470F" w:rsidP="00AC1CC9">
      <w:r>
        <w:t xml:space="preserve">Maryland defines asset management as the identification and management of all information technology (IT) assets based on their </w:t>
      </w:r>
      <w:r>
        <w:t>relative importance to the State. Entities should establish the requirement for a comprehensive centralized register or inventory of all hardware, software, and data within their agency. Agencies must specifically identify and submit an inventory of all pu</w:t>
      </w:r>
      <w:r>
        <w:t xml:space="preserve">blic-facing assets (any system accessible from the internet) to the State ISO. This </w:t>
      </w:r>
      <w:r w:rsidR="00AC1CC9">
        <w:t>includes</w:t>
      </w:r>
      <w:r>
        <w:t xml:space="preserve"> IP addresses and URL, Hardware and software vendors, Primary mission use.</w:t>
      </w:r>
    </w:p>
    <w:p w:rsidR="00466A3E" w:rsidRDefault="00466A3E" w:rsidP="00AC1CC9"/>
    <w:p w:rsidR="00466A3E" w:rsidRDefault="0053470F" w:rsidP="00AC1CC9">
      <w:r>
        <w:t xml:space="preserve">Vulnerability management is defined as a continuous process of identifying, </w:t>
      </w:r>
      <w:r>
        <w:t>prioritizing, and remediating security weaknesses. The state utilizes a multi-layered approach. The State mandates "ongoing awareness" of vulnerabilities and threats. This is executed through the Managed Vulnerability Management (VUL) service, which should</w:t>
      </w:r>
      <w:r>
        <w:t xml:space="preserve"> include: Agent-Based Scanning, External Network Scanning, and Compliance Audits.</w:t>
      </w:r>
    </w:p>
    <w:p w:rsidR="00466A3E" w:rsidRDefault="00466A3E" w:rsidP="00AC1CC9"/>
    <w:p w:rsidR="00466A3E" w:rsidRDefault="0053470F" w:rsidP="00AC1CC9">
      <w:r>
        <w:t>Maryland DoIT Standards and Guidance for Asset Discovery and Vulnerability Management</w:t>
      </w:r>
    </w:p>
    <w:p w:rsidR="00466A3E" w:rsidRDefault="0053470F" w:rsidP="00AC1CC9">
      <w:r>
        <w:t>The Maryland Department of Information Technology has developed a framework that cascad</w:t>
      </w:r>
      <w:r>
        <w:t>es from management-directed Governance policies through topic-specific Functional policies and down to technical Cybersecurity Standards. By integrating Zero Trust Principles at every level, this hierarchical structure translates the State’s strategic miss</w:t>
      </w:r>
      <w:r>
        <w:t>ion into specific, actionable requirements. Applicants can review the following documents for recommendations on implementing Asset Discovery and Vulnerability Management: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Asset Management Policy (</w:t>
      </w:r>
      <w:hyperlink r:id="rId9">
        <w:r w:rsidRPr="00AC1CC9">
          <w:rPr>
            <w:rFonts w:ascii="Franklin Gothic" w:hAnsi="Franklin Gothic"/>
            <w:color w:val="1155CC"/>
            <w:u w:val="single"/>
          </w:rPr>
          <w:t>MD-POL-202</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Continuous Monitoring &amp; Scanning (</w:t>
      </w:r>
      <w:hyperlink r:id="rId10">
        <w:r w:rsidRPr="00AC1CC9">
          <w:rPr>
            <w:rFonts w:ascii="Franklin Gothic" w:hAnsi="Franklin Gothic"/>
            <w:color w:val="1155CC"/>
            <w:u w:val="single"/>
          </w:rPr>
          <w:t>MD-POL-208</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Configuration Management (</w:t>
      </w:r>
      <w:hyperlink r:id="rId11">
        <w:r w:rsidRPr="00AC1CC9">
          <w:rPr>
            <w:rFonts w:ascii="Franklin Gothic" w:hAnsi="Franklin Gothic"/>
            <w:color w:val="1155CC"/>
            <w:u w:val="single"/>
          </w:rPr>
          <w:t>MD-STD-305-CM</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System &amp; Services Acquisition (</w:t>
      </w:r>
      <w:hyperlink r:id="rId12">
        <w:r w:rsidRPr="00AC1CC9">
          <w:rPr>
            <w:rFonts w:ascii="Franklin Gothic" w:hAnsi="Franklin Gothic"/>
            <w:color w:val="1155CC"/>
            <w:u w:val="single"/>
          </w:rPr>
          <w:t>MD-STD-317-SA</w:t>
        </w:r>
      </w:hyperlink>
      <w:r w:rsidRPr="00AC1CC9">
        <w:rPr>
          <w:rFonts w:ascii="Franklin Gothic" w:hAnsi="Franklin Gothic"/>
          <w:color w:val="1B1B1B"/>
        </w:rPr>
        <w:t>)</w:t>
      </w:r>
    </w:p>
    <w:p w:rsidR="00466A3E" w:rsidRDefault="00466A3E" w:rsidP="00AC1CC9"/>
    <w:p w:rsidR="00466A3E" w:rsidRDefault="00466A3E" w:rsidP="00AC1CC9"/>
    <w:p w:rsidR="00466A3E" w:rsidRDefault="0053470F" w:rsidP="00AC1CC9">
      <w:pPr>
        <w:pStyle w:val="Heading2"/>
      </w:pPr>
      <w:bookmarkStart w:id="6" w:name="_Toc237322993"/>
      <w:r>
        <w:t>Guidance for Multi-Factor Authentication (MFA) Projects</w:t>
      </w:r>
      <w:bookmarkEnd w:id="6"/>
    </w:p>
    <w:p w:rsidR="00466A3E" w:rsidRDefault="00466A3E" w:rsidP="00AC1CC9"/>
    <w:p w:rsidR="00466A3E" w:rsidRDefault="0053470F" w:rsidP="00AC1CC9">
      <w:r>
        <w:t>How the State Defines Multi-Factor Authentication (MFA)</w:t>
      </w:r>
    </w:p>
    <w:p w:rsidR="00466A3E" w:rsidRDefault="0053470F" w:rsidP="00AC1CC9">
      <w:r>
        <w:lastRenderedPageBreak/>
        <w:t xml:space="preserve">An authentication system that requires more than one distinct authentication factor for </w:t>
      </w:r>
      <w:r>
        <w:t>successful authentication. Multi-factor authentication can be performed using a multi-factor authenticator or by a combination of authenticators that provide different factors. (The three authentication factors are something you know, something you have, a</w:t>
      </w:r>
      <w:r>
        <w:t>nd something you are).</w:t>
      </w:r>
    </w:p>
    <w:p w:rsidR="00466A3E" w:rsidRDefault="00466A3E" w:rsidP="00AC1CC9"/>
    <w:p w:rsidR="00466A3E" w:rsidRDefault="0053470F" w:rsidP="00AC1CC9">
      <w:r>
        <w:t>Maryland DoIT Standards and Guidance for Authentication of Users</w:t>
      </w:r>
    </w:p>
    <w:p w:rsidR="00466A3E" w:rsidRDefault="0053470F" w:rsidP="00AC1CC9">
      <w:r>
        <w:t>The Maryland Department of Information Technology has developed a framework that cascades from management-directed Governance policies through topic-specific Functiona</w:t>
      </w:r>
      <w:r>
        <w:t xml:space="preserve">l policies and down to technical Cybersecurity Standards. By integrating Zero Trust Principles at every level, this hierarchical structure translates the State’s strategic mission into specific, actionable requirements. Applicants can review the following </w:t>
      </w:r>
      <w:r>
        <w:t>documents for recommendations on implementing MFA:</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Identification &amp; Authentication Standard (</w:t>
      </w:r>
      <w:hyperlink r:id="rId13">
        <w:r w:rsidRPr="00AC1CC9">
          <w:rPr>
            <w:rFonts w:ascii="Franklin Gothic" w:hAnsi="Franklin Gothic"/>
            <w:color w:val="1155CC"/>
          </w:rPr>
          <w:t>MD-STD-307-IA</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hyperlink r:id="rId14">
        <w:r w:rsidRPr="00AC1CC9">
          <w:rPr>
            <w:rFonts w:ascii="Franklin Gothic" w:hAnsi="Franklin Gothic"/>
            <w:color w:val="1155CC"/>
          </w:rPr>
          <w:t>Standards and Guidance for Authentication of External Users</w:t>
        </w:r>
      </w:hyperlink>
    </w:p>
    <w:p w:rsidR="00466A3E" w:rsidRDefault="00466A3E" w:rsidP="00AC1CC9"/>
    <w:p w:rsidR="00466A3E" w:rsidRDefault="00466A3E" w:rsidP="00AC1CC9">
      <w:pPr>
        <w:pStyle w:val="Heading2"/>
      </w:pPr>
      <w:bookmarkStart w:id="7" w:name="_heading=h.7z99tyxi3d88" w:colFirst="0" w:colLast="0"/>
      <w:bookmarkEnd w:id="7"/>
    </w:p>
    <w:p w:rsidR="00466A3E" w:rsidRDefault="0053470F" w:rsidP="00AC1CC9">
      <w:pPr>
        <w:pStyle w:val="Heading2"/>
      </w:pPr>
      <w:bookmarkStart w:id="8" w:name="_Toc237322994"/>
      <w:r>
        <w:t>Guidance for End-Point Detection and Response (EDR) Projects</w:t>
      </w:r>
      <w:bookmarkEnd w:id="8"/>
    </w:p>
    <w:p w:rsidR="00466A3E" w:rsidRDefault="00466A3E" w:rsidP="00AC1CC9"/>
    <w:p w:rsidR="00466A3E" w:rsidRDefault="0053470F" w:rsidP="00AC1CC9">
      <w:r>
        <w:t>How the State Defines</w:t>
      </w:r>
      <w:r>
        <w:t xml:space="preserve"> End-Point Detection and Response (EDR) </w:t>
      </w:r>
    </w:p>
    <w:p w:rsidR="00466A3E" w:rsidRDefault="0053470F" w:rsidP="00AC1CC9">
      <w:r>
        <w:t xml:space="preserve">Maryland defines EDR as an integrated, layered security solution that provides continuous, real-time monitoring and analysis of "endpoints" (e.g., laptops, desktops, servers, and mobile devices). EDR is the "second </w:t>
      </w:r>
      <w:r>
        <w:t>layer" to an Endpoint Protection Platform, providing the deep visibility and forensic tools required for threat hunting and post-breach investigation.</w:t>
      </w:r>
    </w:p>
    <w:p w:rsidR="00466A3E" w:rsidRDefault="00466A3E" w:rsidP="00AC1CC9"/>
    <w:p w:rsidR="00466A3E" w:rsidRDefault="0053470F" w:rsidP="00AC1CC9">
      <w:r>
        <w:t xml:space="preserve">Maryland DoIT Standards and Guidance for End-Point Detection and Response (EDR) </w:t>
      </w:r>
    </w:p>
    <w:p w:rsidR="00466A3E" w:rsidRDefault="0053470F" w:rsidP="00AC1CC9">
      <w:r>
        <w:t>The Maryland Department of Information Technology has developed a framework that cascades from management-directed Governance policies through topic-specific Functional policies and down to technical Cybersecurity Standards.By integrating Zero Trust Princi</w:t>
      </w:r>
      <w:r>
        <w:t>ples at every level, this hierarchical structure translates the State’s strategic mission into specific, actionable requirements. Applicants can review the following documents for recommendations on implementing EDR:</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Acceptable Use Policy (</w:t>
      </w:r>
      <w:hyperlink r:id="rId15">
        <w:r w:rsidRPr="00AC1CC9">
          <w:rPr>
            <w:rFonts w:ascii="Franklin Gothic" w:hAnsi="Franklin Gothic"/>
            <w:color w:val="005EA2"/>
            <w:highlight w:val="white"/>
          </w:rPr>
          <w:t>MD-POL-203</w:t>
        </w:r>
      </w:hyperlink>
      <w:r w:rsidRPr="00AC1CC9">
        <w:rPr>
          <w:rFonts w:ascii="Franklin Gothic" w:hAnsi="Franklin Gothic"/>
        </w:rPr>
        <w:t>)</w:t>
      </w:r>
    </w:p>
    <w:p w:rsidR="00466A3E" w:rsidRDefault="00466A3E" w:rsidP="00AC1CC9">
      <w:pPr>
        <w:pStyle w:val="Heading2"/>
      </w:pPr>
      <w:bookmarkStart w:id="9" w:name="_heading=h.74u63y1i7tbz" w:colFirst="0" w:colLast="0"/>
      <w:bookmarkEnd w:id="9"/>
    </w:p>
    <w:p w:rsidR="00466A3E" w:rsidRDefault="0053470F" w:rsidP="00AC1CC9">
      <w:pPr>
        <w:pStyle w:val="Heading2"/>
      </w:pPr>
      <w:bookmarkStart w:id="10" w:name="_Toc237322995"/>
      <w:r>
        <w:t>Guidance for Email Security (such as Secure Email Gateway (SEG) solutions) Projects</w:t>
      </w:r>
      <w:bookmarkEnd w:id="10"/>
    </w:p>
    <w:p w:rsidR="00466A3E" w:rsidRDefault="00466A3E" w:rsidP="00AC1CC9"/>
    <w:p w:rsidR="00466A3E" w:rsidRDefault="0053470F" w:rsidP="00AC1CC9">
      <w:r>
        <w:t>How the State Defines Email Security</w:t>
      </w:r>
    </w:p>
    <w:p w:rsidR="00466A3E" w:rsidRDefault="0053470F" w:rsidP="00AC1CC9">
      <w:r>
        <w:t>The State of Maryland, through</w:t>
      </w:r>
      <w:r>
        <w:t xml:space="preserve"> the Department of Information Technology (DoIT), defines email security as a multi-layered requirement focused on data protection, user accountability, and technical authentication standards. Any non-public data (Data Classification Level 2 or above) bein</w:t>
      </w:r>
      <w:r>
        <w:t xml:space="preserve">g transferred over the internet via email must be encrypted. </w:t>
      </w:r>
    </w:p>
    <w:p w:rsidR="00466A3E" w:rsidRDefault="00466A3E" w:rsidP="00AC1CC9"/>
    <w:p w:rsidR="00466A3E" w:rsidRDefault="0053470F" w:rsidP="00AC1CC9">
      <w:r>
        <w:t>Maryland DoIT Standards and Guidance for Email Security</w:t>
      </w:r>
    </w:p>
    <w:p w:rsidR="00466A3E" w:rsidRDefault="0053470F" w:rsidP="00AC1CC9">
      <w:r>
        <w:t>The Maryland Department of Information Technology has developed a framework that cascades from management-directed Governance policies th</w:t>
      </w:r>
      <w:r>
        <w:t>rough topic-specific Functional policies and down to technical Cybersecurity Standards. By integrating Zero Trust Principles at every level, this hierarchical structure translates the State’s strategic mission into specific, actionable requirements. Applic</w:t>
      </w:r>
      <w:r>
        <w:t>ants can review the following documents for recommendations on implementing SEG solutions:</w:t>
      </w:r>
    </w:p>
    <w:p w:rsidR="00466A3E" w:rsidRPr="00AC1CC9" w:rsidRDefault="0053470F" w:rsidP="00AC1CC9">
      <w:pPr>
        <w:pStyle w:val="ListParagraph"/>
        <w:numPr>
          <w:ilvl w:val="0"/>
          <w:numId w:val="8"/>
        </w:numPr>
        <w:rPr>
          <w:rFonts w:ascii="Franklin Gothic" w:hAnsi="Franklin Gothic"/>
          <w:color w:val="1B1B1B"/>
        </w:rPr>
      </w:pPr>
      <w:r w:rsidRPr="00AC1CC9">
        <w:rPr>
          <w:rFonts w:ascii="Franklin Gothic" w:hAnsi="Franklin Gothic"/>
          <w:color w:val="1B1B1B"/>
        </w:rPr>
        <w:t>Data Encryption and Privacy (</w:t>
      </w:r>
      <w:hyperlink r:id="rId16">
        <w:r w:rsidRPr="00AC1CC9">
          <w:rPr>
            <w:rFonts w:ascii="Franklin Gothic" w:hAnsi="Franklin Gothic"/>
            <w:color w:val="1155CC"/>
            <w:u w:val="single"/>
          </w:rPr>
          <w:t>MD-POL-205-01</w:t>
        </w:r>
      </w:hyperlink>
    </w:p>
    <w:p w:rsidR="00466A3E" w:rsidRPr="00AC1CC9" w:rsidRDefault="0053470F" w:rsidP="00AC1CC9">
      <w:pPr>
        <w:pStyle w:val="ListParagraph"/>
        <w:numPr>
          <w:ilvl w:val="0"/>
          <w:numId w:val="8"/>
        </w:numPr>
        <w:rPr>
          <w:rFonts w:ascii="Franklin Gothic" w:hAnsi="Franklin Gothic"/>
          <w:color w:val="1B1B1B"/>
        </w:rPr>
      </w:pPr>
      <w:r w:rsidRPr="00AC1CC9">
        <w:rPr>
          <w:rFonts w:ascii="Franklin Gothic" w:hAnsi="Franklin Gothic"/>
          <w:color w:val="1B1B1B"/>
        </w:rPr>
        <w:t>Id</w:t>
      </w:r>
      <w:r w:rsidRPr="00AC1CC9">
        <w:rPr>
          <w:rFonts w:ascii="Franklin Gothic" w:hAnsi="Franklin Gothic"/>
          <w:color w:val="1B1B1B"/>
        </w:rPr>
        <w:t>entity and Access (</w:t>
      </w:r>
      <w:hyperlink r:id="rId17">
        <w:r w:rsidRPr="00AC1CC9">
          <w:rPr>
            <w:rFonts w:ascii="Franklin Gothic" w:hAnsi="Franklin Gothic"/>
            <w:color w:val="1155CC"/>
            <w:u w:val="single"/>
          </w:rPr>
          <w:t>MD-POL-203-01</w:t>
        </w:r>
      </w:hyperlink>
      <w:r w:rsidRPr="00AC1CC9">
        <w:rPr>
          <w:rFonts w:ascii="Franklin Gothic" w:hAnsi="Franklin Gothic"/>
          <w:color w:val="1B1B1B"/>
        </w:rPr>
        <w:t xml:space="preserve">)  </w:t>
      </w:r>
    </w:p>
    <w:p w:rsidR="00466A3E" w:rsidRDefault="00466A3E" w:rsidP="00AC1CC9"/>
    <w:p w:rsidR="00466A3E" w:rsidRDefault="0053470F" w:rsidP="00AC1CC9">
      <w:pPr>
        <w:pStyle w:val="Heading2"/>
      </w:pPr>
      <w:bookmarkStart w:id="11" w:name="_Toc237322996"/>
      <w:r>
        <w:t>Guidance for Security Awareness Training Projects</w:t>
      </w:r>
      <w:bookmarkEnd w:id="11"/>
    </w:p>
    <w:p w:rsidR="00466A3E" w:rsidRDefault="00466A3E" w:rsidP="00AC1CC9">
      <w:pPr>
        <w:pStyle w:val="Heading2"/>
      </w:pPr>
      <w:bookmarkStart w:id="12" w:name="_heading=h.yv1iish5ctnh" w:colFirst="0" w:colLast="0"/>
      <w:bookmarkEnd w:id="12"/>
    </w:p>
    <w:p w:rsidR="00466A3E" w:rsidRDefault="0053470F" w:rsidP="00AC1CC9">
      <w:r>
        <w:t>How the State Defines Security Awareness Training</w:t>
      </w:r>
    </w:p>
    <w:p w:rsidR="00466A3E" w:rsidRDefault="0053470F" w:rsidP="00AC1CC9">
      <w:r>
        <w:t xml:space="preserve">The State </w:t>
      </w:r>
      <w:r>
        <w:t>of Maryland, through the Department of Information Technology (DoIT) and the Office of Security Management (OSM), defines Security Awareness Training (SAT) as a foundational control to protect State assets and data while cultivating a "culture of cybersecu</w:t>
      </w:r>
      <w:r>
        <w:t>rity.</w:t>
      </w:r>
      <w:r>
        <w:rPr>
          <w:b/>
          <w:bCs/>
        </w:rPr>
        <w:t xml:space="preserve">" </w:t>
      </w:r>
      <w:r>
        <w:t xml:space="preserve">The state’s approach to training is through role-based modules tailored to technical, management, and developer roles, alongside a critical emphasis on insider threat awareness to ensure all users can identify and report anomalous behavior. </w:t>
      </w:r>
    </w:p>
    <w:p w:rsidR="00466A3E" w:rsidRDefault="00466A3E" w:rsidP="00AC1CC9"/>
    <w:p w:rsidR="00466A3E" w:rsidRDefault="0053470F" w:rsidP="00AC1CC9">
      <w:r>
        <w:t>Maryla</w:t>
      </w:r>
      <w:r>
        <w:t>nd DoIT Standards and Guidance for Security Awareness Training</w:t>
      </w:r>
    </w:p>
    <w:p w:rsidR="00466A3E" w:rsidRDefault="0053470F" w:rsidP="00AC1CC9">
      <w:r>
        <w:t>The Maryland Department of Information Technology has developed a framework that cascades from management-directed Governance policies through topic-specific Functional policies and down to tec</w:t>
      </w:r>
      <w:r>
        <w:t xml:space="preserve">hnical Cybersecurity Standards. By integrating Zero Trust Principles </w:t>
      </w:r>
      <w:r>
        <w:lastRenderedPageBreak/>
        <w:t>at every level, this hierarchical structure translates the State’s strategic mission into specific, actionable requirements. Applicants can review the following documents for recommendati</w:t>
      </w:r>
      <w:r>
        <w:t>ons on implementing security awareness training:</w:t>
      </w:r>
    </w:p>
    <w:p w:rsidR="00466A3E" w:rsidRPr="00AC1CC9" w:rsidRDefault="0053470F" w:rsidP="00AC1CC9">
      <w:pPr>
        <w:pStyle w:val="ListParagraph"/>
        <w:numPr>
          <w:ilvl w:val="0"/>
          <w:numId w:val="3"/>
        </w:numPr>
        <w:rPr>
          <w:rFonts w:ascii="Franklin Gothic" w:hAnsi="Franklin Gothic"/>
          <w:color w:val="1B1B1B"/>
        </w:rPr>
      </w:pPr>
      <w:r w:rsidRPr="00AC1CC9">
        <w:rPr>
          <w:rFonts w:ascii="Franklin Gothic" w:hAnsi="Franklin Gothic"/>
          <w:highlight w:val="white"/>
        </w:rPr>
        <w:t>Awareness &amp; Training Policy</w:t>
      </w:r>
      <w:r w:rsidRPr="00AC1CC9">
        <w:rPr>
          <w:rFonts w:ascii="Franklin Gothic" w:hAnsi="Franklin Gothic"/>
          <w:color w:val="1B1B1B"/>
        </w:rPr>
        <w:t xml:space="preserve"> (</w:t>
      </w:r>
      <w:hyperlink r:id="rId18">
        <w:r w:rsidRPr="00AC1CC9">
          <w:rPr>
            <w:rFonts w:ascii="Franklin Gothic" w:hAnsi="Franklin Gothic"/>
            <w:color w:val="1155CC"/>
            <w:u w:val="single"/>
          </w:rPr>
          <w:t>MD-POL-206</w:t>
        </w:r>
      </w:hyperlink>
      <w:r w:rsidRPr="00AC1CC9">
        <w:rPr>
          <w:rFonts w:ascii="Franklin Gothic" w:hAnsi="Franklin Gothic"/>
          <w:color w:val="1B1B1B"/>
        </w:rPr>
        <w:t>)</w:t>
      </w:r>
    </w:p>
    <w:p w:rsidR="00466A3E" w:rsidRPr="00AC1CC9" w:rsidRDefault="0053470F" w:rsidP="00AC1CC9">
      <w:pPr>
        <w:pStyle w:val="ListParagraph"/>
        <w:numPr>
          <w:ilvl w:val="0"/>
          <w:numId w:val="3"/>
        </w:numPr>
        <w:rPr>
          <w:rFonts w:ascii="Franklin Gothic" w:hAnsi="Franklin Gothic"/>
          <w:color w:val="1B1B1B"/>
        </w:rPr>
      </w:pPr>
      <w:r w:rsidRPr="00AC1CC9">
        <w:rPr>
          <w:rFonts w:ascii="Franklin Gothic" w:hAnsi="Franklin Gothic"/>
          <w:highlight w:val="white"/>
        </w:rPr>
        <w:t>Awareness &amp; Training Standard (</w:t>
      </w:r>
      <w:hyperlink r:id="rId19">
        <w:r w:rsidRPr="00AC1CC9">
          <w:rPr>
            <w:rFonts w:ascii="Franklin Gothic" w:hAnsi="Franklin Gothic"/>
            <w:color w:val="1155CC"/>
            <w:u w:val="single"/>
          </w:rPr>
          <w:t>MD-STD-302-AT</w:t>
        </w:r>
      </w:hyperlink>
      <w:r w:rsidRPr="00AC1CC9">
        <w:rPr>
          <w:rFonts w:ascii="Franklin Gothic" w:hAnsi="Franklin Gothic"/>
          <w:color w:val="1B1B1B"/>
        </w:rPr>
        <w:t xml:space="preserve">) </w:t>
      </w:r>
    </w:p>
    <w:p w:rsidR="00466A3E" w:rsidRDefault="0053470F" w:rsidP="00AC1CC9">
      <w:pPr>
        <w:pStyle w:val="Heading1"/>
      </w:pPr>
      <w:bookmarkStart w:id="13" w:name="_Toc237322997"/>
      <w:r>
        <w:t>Project Category Two</w:t>
      </w:r>
      <w:bookmarkEnd w:id="13"/>
    </w:p>
    <w:p w:rsidR="00466A3E" w:rsidRDefault="0053470F" w:rsidP="00AC1CC9">
      <w:r>
        <w:t>Project Category 2 (PC2) is the “Adoption or enhancement of general cybersecurity best practices”. While not identified</w:t>
      </w:r>
      <w:r>
        <w:t xml:space="preserve"> as Maryland’s prioritized baseline cybersecurity best practices, jurisdictions can submit project proposals that support the adoption or enhancement of other general cybersecurity best practices. </w:t>
      </w:r>
    </w:p>
    <w:p w:rsidR="00466A3E" w:rsidRDefault="00466A3E" w:rsidP="00AC1CC9"/>
    <w:p w:rsidR="00466A3E" w:rsidRDefault="0053470F" w:rsidP="00AC1CC9">
      <w:r>
        <w:t>These best practices include, but</w:t>
      </w:r>
      <w:r>
        <w:t xml:space="preserve"> are not limited to: Enhanced logging; data encryption; end of use processes of software and hardware; strong password management; ability to reconstitute systems (backups); migration to .gov domain; implementing the NIST Cybersecurity Framework; implement</w:t>
      </w:r>
      <w:r>
        <w:t>ing NIST cyber supply chain risk management practices; and making use of knowledge bases of adversary tools and tactics.</w:t>
      </w:r>
    </w:p>
    <w:p w:rsidR="00466A3E" w:rsidRDefault="00466A3E" w:rsidP="00AC1CC9"/>
    <w:p w:rsidR="00466A3E" w:rsidRDefault="0053470F" w:rsidP="00AC1CC9">
      <w:pPr>
        <w:pStyle w:val="Heading2"/>
      </w:pPr>
      <w:bookmarkStart w:id="14" w:name="_Toc237322998"/>
      <w:r>
        <w:t>Definitions for General Cybersecurity Best Practices</w:t>
      </w:r>
      <w:bookmarkEnd w:id="14"/>
      <w:r>
        <w:t xml:space="preserve"> </w:t>
      </w:r>
    </w:p>
    <w:p w:rsidR="00466A3E" w:rsidRDefault="0053470F" w:rsidP="00AC1CC9">
      <w:pPr>
        <w:pStyle w:val="ListParagraph"/>
        <w:numPr>
          <w:ilvl w:val="0"/>
          <w:numId w:val="6"/>
        </w:numPr>
      </w:pPr>
      <w:r w:rsidRPr="00AC1CC9">
        <w:rPr>
          <w:b/>
          <w:bCs/>
        </w:rPr>
        <w:t>Enhanced logging</w:t>
      </w:r>
      <w:r>
        <w:t xml:space="preserve"> - a process that encrypts the logs for safe transport to the su</w:t>
      </w:r>
      <w:r>
        <w:t>pport administrators. Enhanced logging also provides advanced information in the event log to help administrators troubleshoot issues they may encounter with specific devices (such as USB or video components).</w:t>
      </w:r>
    </w:p>
    <w:p w:rsidR="00466A3E" w:rsidRDefault="0053470F" w:rsidP="00AC1CC9">
      <w:pPr>
        <w:pStyle w:val="ListParagraph"/>
        <w:numPr>
          <w:ilvl w:val="0"/>
          <w:numId w:val="6"/>
        </w:numPr>
      </w:pPr>
      <w:r w:rsidRPr="00AC1CC9">
        <w:rPr>
          <w:b/>
          <w:bCs/>
        </w:rPr>
        <w:t>Data encryption</w:t>
      </w:r>
      <w:r>
        <w:t xml:space="preserve"> - a process/program that trans</w:t>
      </w:r>
      <w:r>
        <w:t>lates data into another form, or code, so that only people with access to a secret key (formally called a decryption key) or password can read it. This can be applied to data at rest and/or in transit.</w:t>
      </w:r>
    </w:p>
    <w:p w:rsidR="00466A3E" w:rsidRDefault="0053470F" w:rsidP="00AC1CC9">
      <w:pPr>
        <w:pStyle w:val="ListParagraph"/>
        <w:numPr>
          <w:ilvl w:val="0"/>
          <w:numId w:val="6"/>
        </w:numPr>
      </w:pPr>
      <w:r w:rsidRPr="00AC1CC9">
        <w:rPr>
          <w:b/>
          <w:bCs/>
        </w:rPr>
        <w:t>End of use processes of software and hardware</w:t>
      </w:r>
      <w:r>
        <w:t xml:space="preserve"> - stoppi</w:t>
      </w:r>
      <w:r>
        <w:t>ng the use of unsupported/end of life software and hardware that are accessible from the Internet.</w:t>
      </w:r>
    </w:p>
    <w:p w:rsidR="00466A3E" w:rsidRDefault="0053470F" w:rsidP="00AC1CC9">
      <w:pPr>
        <w:pStyle w:val="ListParagraph"/>
        <w:numPr>
          <w:ilvl w:val="0"/>
          <w:numId w:val="6"/>
        </w:numPr>
      </w:pPr>
      <w:r w:rsidRPr="00AC1CC9">
        <w:rPr>
          <w:b/>
          <w:bCs/>
        </w:rPr>
        <w:t>Prohibit use of known/fixed/default passwords and credentials</w:t>
      </w:r>
      <w:r>
        <w:t xml:space="preserve"> - taking actions to prohibit employees' ability to use known/fixed/manufacturer passwords and c</w:t>
      </w:r>
      <w:r>
        <w:t>redentials.</w:t>
      </w:r>
    </w:p>
    <w:p w:rsidR="00466A3E" w:rsidRDefault="0053470F" w:rsidP="00AC1CC9">
      <w:pPr>
        <w:pStyle w:val="ListParagraph"/>
        <w:numPr>
          <w:ilvl w:val="0"/>
          <w:numId w:val="6"/>
        </w:numPr>
      </w:pPr>
      <w:r w:rsidRPr="00AC1CC9">
        <w:rPr>
          <w:b/>
          <w:bCs/>
        </w:rPr>
        <w:lastRenderedPageBreak/>
        <w:t xml:space="preserve">Ensure ability to reconstitute systems (backups) </w:t>
      </w:r>
      <w:r>
        <w:t>- testing your organization's ability to correctly reconstitute backups at the determined recovery point objective within your planned recovery time objective.</w:t>
      </w:r>
    </w:p>
    <w:p w:rsidR="00466A3E" w:rsidRDefault="0053470F" w:rsidP="00AC1CC9">
      <w:pPr>
        <w:pStyle w:val="ListParagraph"/>
        <w:numPr>
          <w:ilvl w:val="0"/>
          <w:numId w:val="6"/>
        </w:numPr>
      </w:pPr>
      <w:r w:rsidRPr="00AC1CC9">
        <w:rPr>
          <w:b/>
          <w:bCs/>
        </w:rPr>
        <w:t>Migration to .gov domain</w:t>
      </w:r>
      <w:r>
        <w:t xml:space="preserve"> - the migr</w:t>
      </w:r>
      <w:r>
        <w:t>ation of all email addresses and websites to a safe and secure .gov domain.</w:t>
      </w:r>
    </w:p>
    <w:p w:rsidR="00466A3E" w:rsidRDefault="00466A3E" w:rsidP="00AC1CC9"/>
    <w:p w:rsidR="00466A3E" w:rsidRDefault="0053470F" w:rsidP="00AC1CC9">
      <w:pPr>
        <w:pStyle w:val="Heading2"/>
      </w:pPr>
      <w:bookmarkStart w:id="15" w:name="_Toc237322999"/>
      <w:r>
        <w:t>Maryland DoIT Standards and Guidance for General Cybersecurity Best Practices</w:t>
      </w:r>
      <w:bookmarkEnd w:id="15"/>
    </w:p>
    <w:p w:rsidR="00466A3E" w:rsidRDefault="0053470F" w:rsidP="00AC1CC9">
      <w:r>
        <w:t>The Maryland Department of Information Technology has developed a framework that cascades from manage</w:t>
      </w:r>
      <w:r>
        <w:t>ment-directed Governance policies through topic-specific Functional policies and down to technical Cybersecurity Standards. By integrating Zero Trust Principles at every level, this hierarchical structure translates the State’s strategic mission into speci</w:t>
      </w:r>
      <w:r>
        <w:t>fic, actionable requirements. Applicants can review the following documents for recommendations on implementing plans and policies:</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Access Control Standard (</w:t>
      </w:r>
      <w:hyperlink r:id="rId20">
        <w:r w:rsidRPr="00AC1CC9">
          <w:rPr>
            <w:rFonts w:ascii="Franklin Gothic" w:hAnsi="Franklin Gothic"/>
            <w:color w:val="1155CC"/>
          </w:rPr>
          <w:t>MD-STD-301-AC-01</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Audit &amp; Accountability Standard</w:t>
      </w:r>
      <w:r w:rsidRPr="00AC1CC9">
        <w:rPr>
          <w:rFonts w:ascii="Roboto" w:eastAsia="Roboto" w:hAnsi="Roboto" w:cs="Roboto"/>
          <w:color w:val="1B1B1B"/>
          <w:szCs w:val="24"/>
          <w:highlight w:val="white"/>
        </w:rPr>
        <w:t xml:space="preserve"> </w:t>
      </w:r>
      <w:r w:rsidRPr="00AC1CC9">
        <w:rPr>
          <w:rFonts w:ascii="Franklin Gothic" w:hAnsi="Franklin Gothic"/>
          <w:color w:val="1B1B1B"/>
          <w:highlight w:val="white"/>
        </w:rPr>
        <w:t>(</w:t>
      </w:r>
      <w:hyperlink r:id="rId21">
        <w:r w:rsidRPr="00AC1CC9">
          <w:rPr>
            <w:rFonts w:ascii="Franklin Gothic" w:hAnsi="Franklin Gothic"/>
            <w:color w:val="005EA2"/>
            <w:highlight w:val="white"/>
          </w:rPr>
          <w:t>MD-STD-303-AU</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Identification &amp; Authentication Standard (</w:t>
      </w:r>
      <w:hyperlink r:id="rId22">
        <w:r w:rsidRPr="00AC1CC9">
          <w:rPr>
            <w:rFonts w:ascii="Franklin Gothic" w:hAnsi="Franklin Gothic"/>
            <w:color w:val="1155CC"/>
          </w:rPr>
          <w:t>MD-STD-307-IA</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rPr>
        <w:t>Maintenance Standard (</w:t>
      </w:r>
      <w:hyperlink r:id="rId23">
        <w:r w:rsidRPr="00AC1CC9">
          <w:rPr>
            <w:rFonts w:ascii="Franklin Gothic" w:hAnsi="Franklin Gothic"/>
            <w:color w:val="005EA2"/>
          </w:rPr>
          <w:t>MD-STD-309-MA</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highlight w:val="white"/>
        </w:rPr>
        <w:t>System &amp; Services Acquisition Standard (</w:t>
      </w:r>
      <w:hyperlink r:id="rId24">
        <w:r w:rsidRPr="00AC1CC9">
          <w:rPr>
            <w:rFonts w:ascii="Franklin Gothic" w:hAnsi="Franklin Gothic"/>
            <w:color w:val="005EA2"/>
            <w:highlight w:val="white"/>
          </w:rPr>
          <w:t>MD-STD-317-SA</w:t>
        </w:r>
      </w:hyperlink>
      <w:r w:rsidRPr="00AC1CC9">
        <w:rPr>
          <w:rFonts w:ascii="Franklin Gothic" w:hAnsi="Franklin Gothic"/>
          <w:color w:val="1B1B1B"/>
        </w:rPr>
        <w:t>)</w:t>
      </w:r>
    </w:p>
    <w:p w:rsidR="00466A3E" w:rsidRPr="00AC1CC9" w:rsidRDefault="0053470F" w:rsidP="00AC1CC9">
      <w:pPr>
        <w:pStyle w:val="ListParagraph"/>
        <w:numPr>
          <w:ilvl w:val="0"/>
          <w:numId w:val="9"/>
        </w:numPr>
        <w:rPr>
          <w:rFonts w:ascii="Franklin Gothic" w:hAnsi="Franklin Gothic"/>
          <w:color w:val="1B1B1B"/>
        </w:rPr>
      </w:pPr>
      <w:r w:rsidRPr="00AC1CC9">
        <w:rPr>
          <w:rFonts w:ascii="Franklin Gothic" w:hAnsi="Franklin Gothic"/>
          <w:color w:val="1B1B1B"/>
          <w:highlight w:val="white"/>
        </w:rPr>
        <w:t>Supply Chain &amp; Risk Management Standar</w:t>
      </w:r>
      <w:r w:rsidRPr="00AC1CC9">
        <w:rPr>
          <w:rFonts w:ascii="Franklin Gothic" w:hAnsi="Franklin Gothic"/>
          <w:color w:val="1B1B1B"/>
          <w:highlight w:val="white"/>
        </w:rPr>
        <w:t>d (</w:t>
      </w:r>
      <w:hyperlink r:id="rId25">
        <w:r w:rsidRPr="00AC1CC9">
          <w:rPr>
            <w:rFonts w:ascii="Franklin Gothic" w:hAnsi="Franklin Gothic"/>
            <w:color w:val="005EA2"/>
            <w:highlight w:val="white"/>
          </w:rPr>
          <w:t>MD-STD-320-SR</w:t>
        </w:r>
      </w:hyperlink>
      <w:r w:rsidRPr="00AC1CC9">
        <w:rPr>
          <w:rFonts w:ascii="Franklin Gothic" w:hAnsi="Franklin Gothic"/>
          <w:color w:val="1B1B1B"/>
        </w:rPr>
        <w:t>)</w:t>
      </w:r>
    </w:p>
    <w:p w:rsidR="00466A3E" w:rsidRDefault="0053470F" w:rsidP="00AC1CC9">
      <w:pPr>
        <w:pStyle w:val="Heading1"/>
      </w:pPr>
      <w:bookmarkStart w:id="16" w:name="_Toc237323000"/>
      <w:r>
        <w:t>Project Category Three</w:t>
      </w:r>
      <w:bookmarkEnd w:id="16"/>
    </w:p>
    <w:p w:rsidR="00466A3E" w:rsidRDefault="0053470F" w:rsidP="00AC1CC9">
      <w:r>
        <w:t xml:space="preserve">Project Category 3 (PC3) is “Cybersecurity policy and governance”. Jurisdictions may </w:t>
      </w:r>
      <w:r>
        <w:t>seek funding to support the development of cybersecurity policies and governance. Cybersecurity policies provide important administrative control that defines boundaries for devices, networks, and acceptable use. Examples include, but are not limited to: c</w:t>
      </w:r>
      <w:r>
        <w:t>yber incident response plans; acceptable use policies; continuity of operations plans; technology modernization processes; risk and/or threat assessments.</w:t>
      </w:r>
    </w:p>
    <w:p w:rsidR="00466A3E" w:rsidRDefault="00466A3E" w:rsidP="00AC1CC9"/>
    <w:p w:rsidR="00466A3E" w:rsidRDefault="00466A3E" w:rsidP="00AC1CC9"/>
    <w:p w:rsidR="00466A3E" w:rsidRDefault="0053470F" w:rsidP="00AC1CC9">
      <w:pPr>
        <w:pStyle w:val="Heading2"/>
      </w:pPr>
      <w:bookmarkStart w:id="17" w:name="_Toc237323001"/>
      <w:r>
        <w:t>Maryland DoIT Standards and Guidance for Cybersecurity Policy and Governance</w:t>
      </w:r>
      <w:bookmarkEnd w:id="17"/>
    </w:p>
    <w:p w:rsidR="00466A3E" w:rsidRDefault="0053470F" w:rsidP="00AC1CC9">
      <w:r>
        <w:t>The Maryland Departmen</w:t>
      </w:r>
      <w:r>
        <w:t xml:space="preserve">t of Information Technology has developed a framework that cascades from management-directed Governance policies through topic-specific Functional </w:t>
      </w:r>
      <w:r>
        <w:lastRenderedPageBreak/>
        <w:t xml:space="preserve">policies and down to technical Cybersecurity Standards. By integrating Zero Trust Principles at every level, </w:t>
      </w:r>
      <w:r>
        <w:t>this hierarchical structure translates the State’s strategic mission into specific, actionable requirements. Applicants can review the following documents for recommendations on implementing General Cybersecurity Best Practices:</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Cybersecurity &amp; Privacy Gov</w:t>
      </w:r>
      <w:r w:rsidRPr="00AC1CC9">
        <w:rPr>
          <w:rFonts w:ascii="Franklin Gothic" w:hAnsi="Franklin Gothic"/>
          <w:highlight w:val="white"/>
        </w:rPr>
        <w:t>ernance Policy (</w:t>
      </w:r>
      <w:hyperlink r:id="rId26">
        <w:r w:rsidRPr="00AC1CC9">
          <w:rPr>
            <w:rFonts w:ascii="Franklin Gothic" w:hAnsi="Franklin Gothic"/>
            <w:color w:val="005EA2"/>
            <w:highlight w:val="white"/>
          </w:rPr>
          <w:t>MD-POL-100</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Cybersecurity Risk Management Policy (</w:t>
      </w:r>
      <w:hyperlink r:id="rId27">
        <w:r w:rsidRPr="00AC1CC9">
          <w:rPr>
            <w:rFonts w:ascii="Franklin Gothic" w:hAnsi="Franklin Gothic"/>
            <w:color w:val="005EA2"/>
            <w:highlight w:val="white"/>
          </w:rPr>
          <w:t>MD-POL-201</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Asset Management Policy (</w:t>
      </w:r>
      <w:hyperlink r:id="rId28">
        <w:r w:rsidRPr="00AC1CC9">
          <w:rPr>
            <w:rFonts w:ascii="Franklin Gothic" w:hAnsi="Franklin Gothic"/>
            <w:color w:val="005EA2"/>
            <w:highlight w:val="white"/>
          </w:rPr>
          <w:t>MD-POL-202</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Acceptable Use Policy (</w:t>
      </w:r>
      <w:hyperlink r:id="rId29">
        <w:r w:rsidRPr="00AC1CC9">
          <w:rPr>
            <w:rFonts w:ascii="Franklin Gothic" w:hAnsi="Franklin Gothic"/>
            <w:color w:val="005EA2"/>
            <w:highlight w:val="white"/>
          </w:rPr>
          <w:t>MD-POL-203</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Access Control Policy (</w:t>
      </w:r>
      <w:hyperlink r:id="rId30">
        <w:r w:rsidRPr="00AC1CC9">
          <w:rPr>
            <w:rFonts w:ascii="Franklin Gothic" w:hAnsi="Franklin Gothic"/>
            <w:color w:val="005EA2"/>
            <w:highlight w:val="white"/>
          </w:rPr>
          <w:t>MD-POL-204</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highlight w:val="white"/>
        </w:rPr>
        <w:t>Data Protection &amp; Privacy Policy (</w:t>
      </w:r>
      <w:hyperlink r:id="rId31">
        <w:r w:rsidRPr="00AC1CC9">
          <w:rPr>
            <w:rFonts w:ascii="Franklin Gothic" w:hAnsi="Franklin Gothic"/>
            <w:color w:val="005EA2"/>
            <w:highlight w:val="white"/>
          </w:rPr>
          <w:t>MD-POL-205</w:t>
        </w:r>
      </w:hyperlink>
      <w:r w:rsidRPr="00AC1CC9">
        <w:rPr>
          <w:rFonts w:ascii="Franklin Gothic" w:hAnsi="Franklin Gothic"/>
        </w:rPr>
        <w:t>)</w:t>
      </w:r>
    </w:p>
    <w:p w:rsidR="00466A3E" w:rsidRPr="00AC1CC9" w:rsidRDefault="0053470F" w:rsidP="00AC1CC9">
      <w:pPr>
        <w:pStyle w:val="ListParagraph"/>
        <w:numPr>
          <w:ilvl w:val="0"/>
          <w:numId w:val="7"/>
        </w:numPr>
        <w:rPr>
          <w:rFonts w:ascii="Franklin Gothic" w:hAnsi="Franklin Gothic"/>
        </w:rPr>
      </w:pPr>
      <w:r w:rsidRPr="00AC1CC9">
        <w:rPr>
          <w:rFonts w:ascii="Franklin Gothic" w:hAnsi="Franklin Gothic"/>
        </w:rPr>
        <w:t>Incident Response Policy (</w:t>
      </w:r>
      <w:hyperlink r:id="rId32">
        <w:r w:rsidRPr="00AC1CC9">
          <w:rPr>
            <w:rFonts w:ascii="Franklin Gothic" w:hAnsi="Franklin Gothic"/>
            <w:color w:val="005EA2"/>
          </w:rPr>
          <w:t>MD-POL-209</w:t>
        </w:r>
      </w:hyperlink>
      <w:r w:rsidRPr="00AC1CC9">
        <w:rPr>
          <w:rFonts w:ascii="Franklin Gothic" w:hAnsi="Franklin Gothic"/>
        </w:rPr>
        <w:t>)</w:t>
      </w:r>
    </w:p>
    <w:p w:rsidR="00466A3E" w:rsidRDefault="0053470F" w:rsidP="00AC1CC9">
      <w:pPr>
        <w:pStyle w:val="Heading1"/>
      </w:pPr>
      <w:bookmarkStart w:id="18" w:name="_Toc237323002"/>
      <w:r>
        <w:t>Project Category Four</w:t>
      </w:r>
      <w:bookmarkEnd w:id="18"/>
    </w:p>
    <w:p w:rsidR="00466A3E" w:rsidRDefault="0053470F" w:rsidP="00AC1CC9">
      <w:r>
        <w:t xml:space="preserve">Project Category 4 (PC4) is “Addressing specific jurisdictional cybersecurity needs”. Recognizing that some jurisdictions may </w:t>
      </w:r>
      <w:r>
        <w:t xml:space="preserve">have specific or unique cybersecurity needs, jurisdictions may propose projects to address those needs. For example, addressing gaps in cybersecurity critical infrastructure specific to your entity/jurisdiction. </w:t>
      </w:r>
    </w:p>
    <w:p w:rsidR="00466A3E" w:rsidRDefault="0053470F" w:rsidP="00AC1CC9">
      <w:pPr>
        <w:pStyle w:val="Heading1"/>
      </w:pPr>
      <w:bookmarkStart w:id="19" w:name="_Toc237323003"/>
      <w:r>
        <w:t>Project Category Five</w:t>
      </w:r>
      <w:bookmarkEnd w:id="19"/>
    </w:p>
    <w:p w:rsidR="00466A3E" w:rsidRDefault="0053470F" w:rsidP="00AC1CC9">
      <w:r>
        <w:t>Project Category 5 (P</w:t>
      </w:r>
      <w:r>
        <w:t>C5) is “Cybersecurity workforce development”. Jurisdictions may seek funding to support workforce recruitment and development needs using the NICE Cybersecurity Workforce Framework.</w:t>
      </w:r>
    </w:p>
    <w:p w:rsidR="00466A3E" w:rsidRDefault="00466A3E" w:rsidP="00AC1CC9"/>
    <w:p w:rsidR="00466A3E" w:rsidRDefault="0053470F" w:rsidP="00AC1CC9">
      <w:pPr>
        <w:pStyle w:val="Heading2"/>
      </w:pPr>
      <w:bookmarkStart w:id="20" w:name="_Toc237323004"/>
      <w:r>
        <w:t>Guidance for NICE Cybersecurity Framework</w:t>
      </w:r>
      <w:bookmarkEnd w:id="20"/>
    </w:p>
    <w:p w:rsidR="00466A3E" w:rsidRDefault="0053470F" w:rsidP="00AC1CC9">
      <w:r>
        <w:t>The NICE Workforce Framework fo</w:t>
      </w:r>
      <w:r>
        <w:t>r Cybersecurity, commonly referred to as the NICE Framework, is a nationally focused resource to help employers develop their cybersecurity workforce. It establishes a common lexicon to describe cybersecurity work and workers, regardless of where or for wh</w:t>
      </w:r>
      <w:r>
        <w:t>om the work is performed. The NICE Framework applies across public, private, and academic sectors.</w:t>
      </w:r>
    </w:p>
    <w:p w:rsidR="00466A3E" w:rsidRDefault="00466A3E" w:rsidP="00AC1CC9"/>
    <w:p w:rsidR="00466A3E" w:rsidRDefault="0053470F" w:rsidP="00AC1CC9">
      <w:r>
        <w:lastRenderedPageBreak/>
        <w:t xml:space="preserve">For more information on the NICE Cybersecurity Framework, view the CISA NICE Framework Website </w:t>
      </w:r>
      <w:hyperlink r:id="rId33">
        <w:r>
          <w:rPr>
            <w:color w:val="1155CC"/>
            <w:u w:val="single"/>
          </w:rPr>
          <w:t>here</w:t>
        </w:r>
      </w:hyperlink>
      <w:r>
        <w:t>.</w:t>
      </w:r>
    </w:p>
    <w:sectPr w:rsidR="00466A3E">
      <w:headerReference w:type="default" r:id="rId34"/>
      <w:footerReference w:type="default" r:id="rId35"/>
      <w:headerReference w:type="first" r:id="rId36"/>
      <w:footerReference w:type="first" r:id="rId37"/>
      <w:pgSz w:w="12240" w:h="15840"/>
      <w:pgMar w:top="378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70F" w:rsidRDefault="0053470F" w:rsidP="00AC1CC9">
      <w:r>
        <w:separator/>
      </w:r>
    </w:p>
  </w:endnote>
  <w:endnote w:type="continuationSeparator" w:id="0">
    <w:p w:rsidR="0053470F" w:rsidRDefault="0053470F" w:rsidP="00AC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embedRegular r:id="rId1" w:fontKey="{51120D45-D0B5-434F-B0A6-978B7ED4FF79}"/>
    <w:embedBold r:id="rId2" w:fontKey="{87ADC7BE-D572-48EC-8FFC-69B58C004CCF}"/>
    <w:embedItalic r:id="rId3" w:fontKey="{6F088C09-CE8F-46A7-BF82-CF4E5AEAD576}"/>
  </w:font>
  <w:font w:name="Franklin Gothic">
    <w:charset w:val="00"/>
    <w:family w:val="auto"/>
    <w:pitch w:val="default"/>
    <w:embedRegular r:id="rId4" w:fontKey="{22E4E8AB-219A-4E62-A11A-8D5994F59019}"/>
    <w:embedBold r:id="rId5" w:fontKey="{956ECD82-5EB6-4062-B4D5-AF9C0FB15019}"/>
    <w:embedItalic r:id="rId6" w:fontKey="{53F3C182-6572-45B0-B22D-7BE1DF0EC235}"/>
  </w:font>
  <w:font w:name="Cambria">
    <w:panose1 w:val="02040503050406030204"/>
    <w:charset w:val="00"/>
    <w:family w:val="roman"/>
    <w:pitch w:val="variable"/>
    <w:sig w:usb0="E00006FF" w:usb1="420024FF" w:usb2="02000000" w:usb3="00000000" w:csb0="0000019F" w:csb1="00000000"/>
    <w:embedRegular r:id="rId7" w:fontKey="{6D947D36-F172-48CD-AF87-494F99D6F008}"/>
  </w:font>
  <w:font w:name="Roboto">
    <w:charset w:val="00"/>
    <w:family w:val="auto"/>
    <w:pitch w:val="variable"/>
    <w:sig w:usb0="E0000AFF" w:usb1="5000217F" w:usb2="00000021" w:usb3="00000000" w:csb0="0000019F" w:csb1="00000000"/>
    <w:embedRegular r:id="rId8" w:fontKey="{8C6F2046-B638-4D39-894A-A1455FDA0C18}"/>
  </w:font>
  <w:font w:name="Calibri">
    <w:panose1 w:val="020F0502020204030204"/>
    <w:charset w:val="00"/>
    <w:family w:val="swiss"/>
    <w:pitch w:val="variable"/>
    <w:sig w:usb0="E4002EFF" w:usb1="C200247B" w:usb2="00000009" w:usb3="00000000" w:csb0="000001FF" w:csb1="00000000"/>
    <w:embedRegular r:id="rId9" w:fontKey="{0E2943F0-DEB4-4815-81CE-A4A296EB894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A3E" w:rsidRDefault="00AC1CC9" w:rsidP="00AC1CC9">
    <w:r>
      <w:tab/>
    </w:r>
    <w:r>
      <w:fldChar w:fldCharType="begin"/>
    </w:r>
    <w:r>
      <w:instrText>PAGE</w:instrText>
    </w:r>
    <w:r>
      <w:fldChar w:fldCharType="separate"/>
    </w:r>
    <w:r w:rsidR="005B5ACF">
      <w:rPr>
        <w:noProof/>
      </w:rPr>
      <w:t>10</w:t>
    </w:r>
    <w:r>
      <w:fldChar w:fldCharType="end"/>
    </w:r>
  </w:p>
  <w:p w:rsidR="00466A3E" w:rsidRDefault="00466A3E" w:rsidP="00AC1C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A3E" w:rsidRDefault="00AC1CC9" w:rsidP="00AC1CC9">
    <w:bookmarkStart w:id="21" w:name="_GoBack"/>
    <w:bookmarkEnd w:id="21"/>
    <w:r>
      <w:tab/>
      <w:t xml:space="preserve">                          </w:t>
    </w:r>
    <w:r>
      <w:fldChar w:fldCharType="begin"/>
    </w:r>
    <w:r>
      <w:instrText>PAGE</w:instrText>
    </w:r>
    <w:r>
      <w:fldChar w:fldCharType="separate"/>
    </w:r>
    <w:r w:rsidR="005B5ACF">
      <w:rPr>
        <w:noProof/>
      </w:rPr>
      <w:t>1</w:t>
    </w:r>
    <w:r>
      <w:fldChar w:fldCharType="end"/>
    </w:r>
  </w:p>
  <w:p w:rsidR="00466A3E" w:rsidRDefault="00466A3E" w:rsidP="00AC1CC9"/>
  <w:p w:rsidR="00466A3E" w:rsidRDefault="00466A3E" w:rsidP="00AC1C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70F" w:rsidRDefault="0053470F" w:rsidP="00AC1CC9">
      <w:r>
        <w:separator/>
      </w:r>
    </w:p>
  </w:footnote>
  <w:footnote w:type="continuationSeparator" w:id="0">
    <w:p w:rsidR="0053470F" w:rsidRDefault="0053470F" w:rsidP="00AC1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A3E" w:rsidRDefault="0053470F" w:rsidP="00AC1CC9">
    <w:r>
      <w:rPr>
        <w:noProof/>
        <w:lang w:val="en-US"/>
      </w:rPr>
      <w:drawing>
        <wp:anchor distT="114300" distB="114300" distL="114300" distR="114300" simplePos="0" relativeHeight="251658240" behindDoc="0" locked="0" layoutInCell="1" hidden="0" allowOverlap="1">
          <wp:simplePos x="0" y="0"/>
          <wp:positionH relativeFrom="column">
            <wp:posOffset>-1007110</wp:posOffset>
          </wp:positionH>
          <wp:positionV relativeFrom="paragraph">
            <wp:posOffset>175260</wp:posOffset>
          </wp:positionV>
          <wp:extent cx="7786688" cy="1924050"/>
          <wp:effectExtent l="0" t="0" r="5080" b="0"/>
          <wp:wrapNone/>
          <wp:docPr id="43"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A3E" w:rsidRDefault="0053470F" w:rsidP="00AC1CC9">
    <w:r>
      <w:rPr>
        <w:noProof/>
        <w:lang w:val="en-US"/>
      </w:rPr>
      <w:drawing>
        <wp:anchor distT="114300" distB="114300" distL="114300" distR="114300" simplePos="0" relativeHeight="251659264" behindDoc="0" locked="0" layoutInCell="1" hidden="0" allowOverlap="1">
          <wp:simplePos x="0" y="0"/>
          <wp:positionH relativeFrom="column">
            <wp:posOffset>-1019171</wp:posOffset>
          </wp:positionH>
          <wp:positionV relativeFrom="paragraph">
            <wp:posOffset>114300</wp:posOffset>
          </wp:positionV>
          <wp:extent cx="7786688" cy="1924050"/>
          <wp:effectExtent l="0" t="0" r="5080" b="0"/>
          <wp:wrapNone/>
          <wp:docPr id="44"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26A3C"/>
    <w:multiLevelType w:val="multilevel"/>
    <w:tmpl w:val="C3DEC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A40E89"/>
    <w:multiLevelType w:val="multilevel"/>
    <w:tmpl w:val="BE44E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A478FF"/>
    <w:multiLevelType w:val="multilevel"/>
    <w:tmpl w:val="47585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271745"/>
    <w:multiLevelType w:val="multilevel"/>
    <w:tmpl w:val="DB8AD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B42CB1"/>
    <w:multiLevelType w:val="multilevel"/>
    <w:tmpl w:val="817E4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85080C"/>
    <w:multiLevelType w:val="multilevel"/>
    <w:tmpl w:val="E5EAD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244820"/>
    <w:multiLevelType w:val="multilevel"/>
    <w:tmpl w:val="90FC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0364FD"/>
    <w:multiLevelType w:val="multilevel"/>
    <w:tmpl w:val="2B362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477C77"/>
    <w:multiLevelType w:val="multilevel"/>
    <w:tmpl w:val="50064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4"/>
  </w:num>
  <w:num w:numId="4">
    <w:abstractNumId w:val="5"/>
  </w:num>
  <w:num w:numId="5">
    <w:abstractNumId w:val="2"/>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A3E"/>
    <w:rsid w:val="00083558"/>
    <w:rsid w:val="003878A6"/>
    <w:rsid w:val="00466A3E"/>
    <w:rsid w:val="0053470F"/>
    <w:rsid w:val="005B5ACF"/>
    <w:rsid w:val="00AC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0ED71F-06F4-47E4-A7F8-0E298C56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CC9"/>
    <w:rPr>
      <w:rFonts w:ascii="Franklin Gothic Book" w:eastAsia="Franklin Gothic" w:hAnsi="Franklin Gothic Book" w:cs="Franklin Gothic"/>
      <w:sz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line="240" w:lineRule="auto"/>
      <w:outlineLvl w:val="1"/>
    </w:pPr>
    <w:rPr>
      <w:rFonts w:ascii="Franklin Gothic" w:hAnsi="Franklin Gothic"/>
      <w:b/>
      <w:bCs/>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AC1CC9"/>
    <w:pPr>
      <w:spacing w:after="100"/>
    </w:pPr>
  </w:style>
  <w:style w:type="paragraph" w:styleId="TOC2">
    <w:name w:val="toc 2"/>
    <w:basedOn w:val="Normal"/>
    <w:next w:val="Normal"/>
    <w:autoRedefine/>
    <w:uiPriority w:val="39"/>
    <w:unhideWhenUsed/>
    <w:rsid w:val="00AC1CC9"/>
    <w:pPr>
      <w:spacing w:after="100"/>
      <w:ind w:left="220"/>
    </w:pPr>
  </w:style>
  <w:style w:type="character" w:styleId="Hyperlink">
    <w:name w:val="Hyperlink"/>
    <w:basedOn w:val="DefaultParagraphFont"/>
    <w:uiPriority w:val="99"/>
    <w:unhideWhenUsed/>
    <w:rsid w:val="00AC1CC9"/>
    <w:rPr>
      <w:color w:val="0000FF" w:themeColor="hyperlink"/>
      <w:u w:val="single"/>
    </w:rPr>
  </w:style>
  <w:style w:type="paragraph" w:styleId="ListParagraph">
    <w:name w:val="List Paragraph"/>
    <w:basedOn w:val="Normal"/>
    <w:uiPriority w:val="34"/>
    <w:qFormat/>
    <w:rsid w:val="00AC1CC9"/>
    <w:pPr>
      <w:ind w:left="720"/>
      <w:contextualSpacing/>
    </w:pPr>
  </w:style>
  <w:style w:type="paragraph" w:styleId="Header">
    <w:name w:val="header"/>
    <w:basedOn w:val="Normal"/>
    <w:link w:val="HeaderChar"/>
    <w:uiPriority w:val="99"/>
    <w:unhideWhenUsed/>
    <w:rsid w:val="00AC1CC9"/>
    <w:pPr>
      <w:tabs>
        <w:tab w:val="center" w:pos="4680"/>
        <w:tab w:val="right" w:pos="9360"/>
      </w:tabs>
      <w:spacing w:line="240" w:lineRule="auto"/>
    </w:pPr>
  </w:style>
  <w:style w:type="character" w:customStyle="1" w:styleId="HeaderChar">
    <w:name w:val="Header Char"/>
    <w:basedOn w:val="DefaultParagraphFont"/>
    <w:link w:val="Header"/>
    <w:uiPriority w:val="99"/>
    <w:rsid w:val="00AC1CC9"/>
    <w:rPr>
      <w:rFonts w:ascii="Franklin Gothic Book" w:eastAsia="Franklin Gothic" w:hAnsi="Franklin Gothic Book" w:cs="Franklin Gothic"/>
      <w:sz w:val="24"/>
    </w:rPr>
  </w:style>
  <w:style w:type="paragraph" w:styleId="Footer">
    <w:name w:val="footer"/>
    <w:basedOn w:val="Normal"/>
    <w:link w:val="FooterChar"/>
    <w:uiPriority w:val="99"/>
    <w:unhideWhenUsed/>
    <w:rsid w:val="00AC1CC9"/>
    <w:pPr>
      <w:tabs>
        <w:tab w:val="center" w:pos="4680"/>
        <w:tab w:val="right" w:pos="9360"/>
      </w:tabs>
      <w:spacing w:line="240" w:lineRule="auto"/>
    </w:pPr>
  </w:style>
  <w:style w:type="character" w:customStyle="1" w:styleId="FooterChar">
    <w:name w:val="Footer Char"/>
    <w:basedOn w:val="DefaultParagraphFont"/>
    <w:link w:val="Footer"/>
    <w:uiPriority w:val="99"/>
    <w:rsid w:val="00AC1CC9"/>
    <w:rPr>
      <w:rFonts w:ascii="Franklin Gothic Book" w:eastAsia="Franklin Gothic" w:hAnsi="Franklin Gothic Book" w:cs="Franklin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t.maryland.gov/policies/ci/Documents/MD-STD-307-IA-01-Identification-and-Authentication-Standard.pdf" TargetMode="External"/><Relationship Id="rId18" Type="http://schemas.openxmlformats.org/officeDocument/2006/relationships/hyperlink" Target="https://doit.maryland.gov/policies/ci/Documents/MD-POL-206-01-Awareness-and-Training-Policy.pdf" TargetMode="External"/><Relationship Id="rId26" Type="http://schemas.openxmlformats.org/officeDocument/2006/relationships/hyperlink" Target="https://doit.maryland.gov/policies/ci/Documents/MD-POL-100-01-Cybersecurity-and-Privacy-Governance-Policy.pdf" TargetMode="External"/><Relationship Id="rId39" Type="http://schemas.openxmlformats.org/officeDocument/2006/relationships/theme" Target="theme/theme1.xml"/><Relationship Id="rId21" Type="http://schemas.openxmlformats.org/officeDocument/2006/relationships/hyperlink" Target="https://doit.maryland.gov/policies/ci/Documents/MD-STD-303-AU-01-Audit-and-Accountability.pdf" TargetMode="External"/><Relationship Id="rId34" Type="http://schemas.openxmlformats.org/officeDocument/2006/relationships/header" Target="header1.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t.maryland.gov/policies/ci/Documents/MD-POL-205-01-Data-Protection-and-Privacy-Policy.pdf" TargetMode="External"/><Relationship Id="rId20" Type="http://schemas.openxmlformats.org/officeDocument/2006/relationships/hyperlink" Target="https://doit.maryland.gov/policies/ci/Documents/MD-STD-301-AC-01-Access-Control-Standard.pdf" TargetMode="External"/><Relationship Id="rId29" Type="http://schemas.openxmlformats.org/officeDocument/2006/relationships/hyperlink" Target="https://doit.maryland.gov/policies/ci/Documents/MD-POL-203-01-Acceptable-Use-Policy.pdf"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t.maryland.gov/policies/ci/Documents/MD-STD-305-CM-01-Configuration-Management-Standard.pdf" TargetMode="External"/><Relationship Id="rId24" Type="http://schemas.openxmlformats.org/officeDocument/2006/relationships/hyperlink" Target="https://doit.maryland.gov/policies/ci/Documents/MD-STD-317-SA-01-System-and-Services-Acquisition-Standard.pdf" TargetMode="External"/><Relationship Id="rId32" Type="http://schemas.openxmlformats.org/officeDocument/2006/relationships/hyperlink" Target="https://doit.maryland.gov/policies/ci/Documents/MD-POL-209-01-Incident-Response-Policy.pdf" TargetMode="External"/><Relationship Id="rId37" Type="http://schemas.openxmlformats.org/officeDocument/2006/relationships/footer" Target="footer2.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doit.maryland.gov/policies/ci/Documents/MD-POL-203-01-Acceptable-Use-Policy.pdf" TargetMode="External"/><Relationship Id="rId23" Type="http://schemas.openxmlformats.org/officeDocument/2006/relationships/hyperlink" Target="https://doit.maryland.gov/policies/ci/Documents/MD-STD-309-MA-01-Maintenance-Standard.pdf" TargetMode="External"/><Relationship Id="rId28" Type="http://schemas.openxmlformats.org/officeDocument/2006/relationships/hyperlink" Target="https://doit.maryland.gov/policies/ci/Documents/MD-POL-202-01-Asset-Management-Policy.pdf" TargetMode="External"/><Relationship Id="rId36" Type="http://schemas.openxmlformats.org/officeDocument/2006/relationships/header" Target="header2.xml"/><Relationship Id="rId10" Type="http://schemas.openxmlformats.org/officeDocument/2006/relationships/hyperlink" Target="https://doit.maryland.gov/policies/ci/Documents/MD-POL-208-01-Continuous-Monitoring-Policy.pdf" TargetMode="External"/><Relationship Id="rId19" Type="http://schemas.openxmlformats.org/officeDocument/2006/relationships/hyperlink" Target="https://doit.maryland.gov/policies/ci/Documents/MD-STD-302-AT-01-Awareness-and-Training-Standard.pdf" TargetMode="External"/><Relationship Id="rId31" Type="http://schemas.openxmlformats.org/officeDocument/2006/relationships/hyperlink" Target="https://doit.maryland.gov/policies/ci/Documents/MD-POL-205-01-Data-Protection-and-Privacy-Policy.pdf" TargetMode="External"/><Relationship Id="rId4" Type="http://schemas.openxmlformats.org/officeDocument/2006/relationships/settings" Target="settings.xml"/><Relationship Id="rId9" Type="http://schemas.openxmlformats.org/officeDocument/2006/relationships/hyperlink" Target="https://doit.maryland.gov/policies/ci/Documents/MD-POL-202-01-Asset-Management-Policy.pdf" TargetMode="External"/><Relationship Id="rId14" Type="http://schemas.openxmlformats.org/officeDocument/2006/relationships/hyperlink" Target="https://doit.maryland.gov/policies/ci/Pages/standards-and-guidance-for-authentication-of-external-users.aspx" TargetMode="External"/><Relationship Id="rId22" Type="http://schemas.openxmlformats.org/officeDocument/2006/relationships/hyperlink" Target="https://doit.maryland.gov/policies/ci/Documents/MD-STD-307-IA-01-Identification-and-Authentication-Standard.pdf" TargetMode="External"/><Relationship Id="rId27" Type="http://schemas.openxmlformats.org/officeDocument/2006/relationships/hyperlink" Target="https://doit.maryland.gov/policies/ci/Documents/MD-POL-201-01-Cybersecurity-Risk-Management-Policy.pdf" TargetMode="External"/><Relationship Id="rId30" Type="http://schemas.openxmlformats.org/officeDocument/2006/relationships/hyperlink" Target="https://doit.maryland.gov/policies/ci/Documents/MD-POL-204-01-Access-Control-Policy.pdf" TargetMode="External"/><Relationship Id="rId35" Type="http://schemas.openxmlformats.org/officeDocument/2006/relationships/footer" Target="footer1.xml"/><Relationship Id="rId8" Type="http://schemas.openxmlformats.org/officeDocument/2006/relationships/hyperlink" Target="http://sam.gov" TargetMode="External"/><Relationship Id="rId3" Type="http://schemas.openxmlformats.org/officeDocument/2006/relationships/styles" Target="styles.xml"/><Relationship Id="rId12" Type="http://schemas.openxmlformats.org/officeDocument/2006/relationships/hyperlink" Target="https://doit.maryland.gov/policies/ci/Documents/MD-STD-317-SA-01-System-and-Services-Acquisition-Standard.pdf" TargetMode="External"/><Relationship Id="rId17" Type="http://schemas.openxmlformats.org/officeDocument/2006/relationships/hyperlink" Target="https://doit.maryland.gov/policies/ci/Documents/MD-POL-203-01-Acceptable-Use-Policy.pdf" TargetMode="External"/><Relationship Id="rId25" Type="http://schemas.openxmlformats.org/officeDocument/2006/relationships/hyperlink" Target="https://doit.maryland.gov/policies/ci/Documents/MD-STD-320-SR-01-Supply-Chain-and-Risk-Management-Standard.pdf" TargetMode="External"/><Relationship Id="rId33" Type="http://schemas.openxmlformats.org/officeDocument/2006/relationships/hyperlink" Target="https://niccs.cisa.gov/workforce-development/nice-framework" TargetMode="External"/><Relationship Id="rId38"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H7IhvdC5wTqWGnB1OqyIPCWw==">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27B51F-2F3D-4066-AA25-A3509065D79C}"/>
</file>

<file path=customXml/itemProps3.xml><?xml version="1.0" encoding="utf-8"?>
<ds:datastoreItem xmlns:ds="http://schemas.openxmlformats.org/officeDocument/2006/customXml" ds:itemID="{6201535C-D228-407B-8E7A-FCFBE9022763}"/>
</file>

<file path=customXml/itemProps4.xml><?xml version="1.0" encoding="utf-8"?>
<ds:datastoreItem xmlns:ds="http://schemas.openxmlformats.org/officeDocument/2006/customXml" ds:itemID="{9AE2A112-878A-401B-9E01-5205AFF142F8}"/>
</file>

<file path=docProps/app.xml><?xml version="1.0" encoding="utf-8"?>
<Properties xmlns="http://schemas.openxmlformats.org/officeDocument/2006/extended-properties" xmlns:vt="http://schemas.openxmlformats.org/officeDocument/2006/docPropsVTypes">
  <Template>Normal</Template>
  <TotalTime>10</TotalTime>
  <Pages>10</Pages>
  <Words>2969</Words>
  <Characters>16924</Characters>
  <Application>Microsoft Office Word</Application>
  <DocSecurity>0</DocSecurity>
  <Lines>141</Lines>
  <Paragraphs>39</Paragraphs>
  <ScaleCrop>false</ScaleCrop>
  <Company>Maryland Department of Information Technology</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Alan Lyons</cp:lastModifiedBy>
  <cp:revision>3</cp:revision>
  <dcterms:created xsi:type="dcterms:W3CDTF">2026-08-11T10:36:00Z</dcterms:created>
  <dcterms:modified xsi:type="dcterms:W3CDTF">2026-08-11T15:59:00Z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